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DD0EB7">
        <w:tblPrEx>
          <w:tblCellMar>
            <w:top w:w="0" w:type="dxa"/>
            <w:bottom w:w="0" w:type="dxa"/>
          </w:tblCellMar>
        </w:tblPrEx>
        <w:trPr>
          <w:tblCellSpacing w:w="60" w:type="dxa"/>
        </w:trPr>
        <w:tc>
          <w:tcPr>
            <w:tcW w:w="1200" w:type="pct"/>
            <w:shd w:val="clear" w:color="auto" w:fill="E7F0F9"/>
          </w:tcPr>
          <w:p w:rsidR="00DD0EB7" w:rsidRDefault="00000000">
            <w:pPr>
              <w:spacing w:after="0" w:line="240" w:lineRule="auto"/>
            </w:pPr>
            <w:r>
              <w:rPr>
                <w:b/>
              </w:rPr>
              <w:t>RKP broj</w:t>
            </w:r>
          </w:p>
        </w:tc>
        <w:tc>
          <w:tcPr>
            <w:tcW w:w="0" w:type="auto"/>
            <w:shd w:val="clear" w:color="auto" w:fill="E7F0F9"/>
          </w:tcPr>
          <w:p w:rsidR="00DD0EB7" w:rsidRDefault="00000000">
            <w:pPr>
              <w:spacing w:after="0" w:line="240" w:lineRule="auto"/>
            </w:pPr>
            <w:r>
              <w:t>28321</w:t>
            </w:r>
          </w:p>
        </w:tc>
      </w:tr>
      <w:tr w:rsidR="00DD0EB7">
        <w:tblPrEx>
          <w:tblCellMar>
            <w:top w:w="0" w:type="dxa"/>
            <w:bottom w:w="0" w:type="dxa"/>
          </w:tblCellMar>
        </w:tblPrEx>
        <w:trPr>
          <w:tblCellSpacing w:w="60" w:type="dxa"/>
        </w:trPr>
        <w:tc>
          <w:tcPr>
            <w:tcW w:w="1200" w:type="pct"/>
            <w:shd w:val="clear" w:color="auto" w:fill="E7F0F9"/>
          </w:tcPr>
          <w:p w:rsidR="00DD0EB7" w:rsidRDefault="00000000">
            <w:pPr>
              <w:spacing w:after="0" w:line="240" w:lineRule="auto"/>
            </w:pPr>
            <w:r>
              <w:rPr>
                <w:b/>
              </w:rPr>
              <w:t>Naziv obveznika</w:t>
            </w:r>
          </w:p>
        </w:tc>
        <w:tc>
          <w:tcPr>
            <w:tcW w:w="0" w:type="auto"/>
            <w:shd w:val="clear" w:color="auto" w:fill="E7F0F9"/>
          </w:tcPr>
          <w:p w:rsidR="00DD0EB7" w:rsidRDefault="00000000">
            <w:pPr>
              <w:spacing w:after="0" w:line="240" w:lineRule="auto"/>
            </w:pPr>
            <w:r>
              <w:t>DJEĆJI VRTIĆ BUBAMARA</w:t>
            </w:r>
          </w:p>
        </w:tc>
      </w:tr>
      <w:tr w:rsidR="00DD0EB7">
        <w:tblPrEx>
          <w:tblCellMar>
            <w:top w:w="0" w:type="dxa"/>
            <w:bottom w:w="0" w:type="dxa"/>
          </w:tblCellMar>
        </w:tblPrEx>
        <w:trPr>
          <w:tblCellSpacing w:w="60" w:type="dxa"/>
        </w:trPr>
        <w:tc>
          <w:tcPr>
            <w:tcW w:w="1200" w:type="pct"/>
            <w:shd w:val="clear" w:color="auto" w:fill="E7F0F9"/>
          </w:tcPr>
          <w:p w:rsidR="00DD0EB7" w:rsidRDefault="00000000">
            <w:pPr>
              <w:spacing w:after="0" w:line="240" w:lineRule="auto"/>
            </w:pPr>
            <w:r>
              <w:rPr>
                <w:b/>
              </w:rPr>
              <w:t>Razina</w:t>
            </w:r>
          </w:p>
        </w:tc>
        <w:tc>
          <w:tcPr>
            <w:tcW w:w="0" w:type="auto"/>
            <w:shd w:val="clear" w:color="auto" w:fill="E7F0F9"/>
          </w:tcPr>
          <w:p w:rsidR="00DD0EB7" w:rsidRDefault="00000000">
            <w:pPr>
              <w:spacing w:after="0" w:line="240" w:lineRule="auto"/>
            </w:pPr>
            <w:r>
              <w:t>21</w:t>
            </w:r>
          </w:p>
        </w:tc>
      </w:tr>
    </w:tbl>
    <w:p w:rsidR="00DD0EB7" w:rsidRDefault="00000000">
      <w:r>
        <w:br/>
      </w:r>
    </w:p>
    <w:p w:rsidR="00DD0EB7" w:rsidRDefault="00000000">
      <w:pPr>
        <w:spacing w:line="240" w:lineRule="auto"/>
        <w:jc w:val="center"/>
      </w:pPr>
      <w:r>
        <w:rPr>
          <w:b/>
          <w:sz w:val="28"/>
        </w:rPr>
        <w:t>BILJEŠKE UZ FINANCIJSKE IZVJEŠTAJE</w:t>
      </w:r>
    </w:p>
    <w:p w:rsidR="00DD0EB7" w:rsidRDefault="00000000">
      <w:pPr>
        <w:spacing w:line="240" w:lineRule="auto"/>
        <w:jc w:val="center"/>
      </w:pPr>
      <w:r>
        <w:rPr>
          <w:b/>
          <w:sz w:val="28"/>
        </w:rPr>
        <w:t>ZA RAZDOBLJE</w:t>
      </w:r>
    </w:p>
    <w:p w:rsidR="00DD0EB7" w:rsidRDefault="00000000">
      <w:pPr>
        <w:spacing w:line="240" w:lineRule="auto"/>
        <w:jc w:val="center"/>
      </w:pPr>
      <w:r>
        <w:rPr>
          <w:b/>
          <w:sz w:val="28"/>
        </w:rPr>
        <w:t>I - VI 2025.</w:t>
      </w:r>
    </w:p>
    <w:p w:rsidR="00DD0EB7" w:rsidRDefault="00DD0EB7"/>
    <w:p w:rsidR="00DD0EB7" w:rsidRDefault="00000000">
      <w:pPr>
        <w:keepNext/>
        <w:spacing w:line="240" w:lineRule="auto"/>
        <w:jc w:val="center"/>
      </w:pPr>
      <w:r>
        <w:rPr>
          <w:b/>
          <w:sz w:val="28"/>
        </w:rPr>
        <w:t>Izvještaj o prihodima i rashodima, primicima i izdacima</w:t>
      </w:r>
    </w:p>
    <w:p w:rsidR="00DD0EB7"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D0EB7">
        <w:tblPrEx>
          <w:tblCellMar>
            <w:top w:w="0" w:type="dxa"/>
            <w:bottom w:w="0" w:type="dxa"/>
          </w:tblCellMar>
        </w:tblPrEx>
        <w:trPr>
          <w:cantSplit/>
        </w:trPr>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Indeks (%)</w:t>
            </w:r>
          </w:p>
        </w:tc>
      </w:tr>
      <w:tr w:rsidR="00DD0EB7">
        <w:tblPrEx>
          <w:tblCellMar>
            <w:top w:w="0" w:type="dxa"/>
            <w:bottom w:w="0" w:type="dxa"/>
          </w:tblCellMar>
        </w:tblPrEx>
        <w:trPr>
          <w:cantSplit/>
          <w:trHeight w:val="560"/>
        </w:trPr>
        <w:tc>
          <w:tcPr>
            <w:tcW w:w="700" w:type="dxa"/>
            <w:tcMar>
              <w:top w:w="0" w:type="dxa"/>
              <w:bottom w:w="0" w:type="dxa"/>
            </w:tcMar>
            <w:vAlign w:val="center"/>
          </w:tcPr>
          <w:p w:rsidR="00DD0EB7" w:rsidRDefault="00000000">
            <w:pPr>
              <w:keepNext/>
              <w:keepLines/>
              <w:spacing w:after="0" w:line="240" w:lineRule="auto"/>
            </w:pPr>
            <w:r>
              <w:rPr>
                <w:sz w:val="18"/>
              </w:rPr>
              <w:t>6</w:t>
            </w:r>
          </w:p>
        </w:tc>
        <w:tc>
          <w:tcPr>
            <w:tcW w:w="3180" w:type="dxa"/>
            <w:tcMar>
              <w:top w:w="0" w:type="dxa"/>
              <w:bottom w:w="0" w:type="dxa"/>
            </w:tcMar>
            <w:vAlign w:val="center"/>
          </w:tcPr>
          <w:p w:rsidR="00DD0EB7"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rsidR="00DD0EB7" w:rsidRDefault="00000000">
            <w:pPr>
              <w:keepNext/>
              <w:keepLines/>
              <w:spacing w:after="0" w:line="240" w:lineRule="auto"/>
            </w:pPr>
            <w:r>
              <w:rPr>
                <w:sz w:val="18"/>
              </w:rPr>
              <w:t>6</w:t>
            </w:r>
          </w:p>
        </w:tc>
        <w:tc>
          <w:tcPr>
            <w:tcW w:w="1860" w:type="dxa"/>
            <w:tcMar>
              <w:top w:w="0" w:type="dxa"/>
              <w:bottom w:w="0" w:type="dxa"/>
            </w:tcMar>
            <w:vAlign w:val="center"/>
          </w:tcPr>
          <w:p w:rsidR="00DD0EB7" w:rsidRDefault="00000000">
            <w:pPr>
              <w:keepNext/>
              <w:keepLines/>
              <w:spacing w:after="0" w:line="240" w:lineRule="auto"/>
              <w:jc w:val="right"/>
            </w:pPr>
            <w:r>
              <w:rPr>
                <w:sz w:val="18"/>
              </w:rPr>
              <w:t>429.281,76</w:t>
            </w:r>
          </w:p>
        </w:tc>
        <w:tc>
          <w:tcPr>
            <w:tcW w:w="1860" w:type="dxa"/>
            <w:tcMar>
              <w:top w:w="0" w:type="dxa"/>
              <w:bottom w:w="0" w:type="dxa"/>
            </w:tcMar>
            <w:vAlign w:val="center"/>
          </w:tcPr>
          <w:p w:rsidR="00DD0EB7" w:rsidRDefault="00000000">
            <w:pPr>
              <w:keepNext/>
              <w:keepLines/>
              <w:spacing w:after="0" w:line="240" w:lineRule="auto"/>
              <w:jc w:val="right"/>
            </w:pPr>
            <w:r>
              <w:rPr>
                <w:sz w:val="18"/>
              </w:rPr>
              <w:t>638.672,83</w:t>
            </w:r>
          </w:p>
        </w:tc>
        <w:tc>
          <w:tcPr>
            <w:tcW w:w="700" w:type="dxa"/>
            <w:tcMar>
              <w:top w:w="0" w:type="dxa"/>
              <w:bottom w:w="0" w:type="dxa"/>
            </w:tcMar>
            <w:vAlign w:val="center"/>
          </w:tcPr>
          <w:p w:rsidR="00DD0EB7" w:rsidRDefault="00000000">
            <w:pPr>
              <w:keepNext/>
              <w:keepLines/>
              <w:spacing w:after="0" w:line="240" w:lineRule="auto"/>
              <w:jc w:val="right"/>
            </w:pPr>
            <w:r>
              <w:rPr>
                <w:sz w:val="18"/>
              </w:rPr>
              <w:t>148,8</w:t>
            </w:r>
          </w:p>
        </w:tc>
      </w:tr>
      <w:tr w:rsidR="00DD0EB7">
        <w:tblPrEx>
          <w:tblCellMar>
            <w:top w:w="0" w:type="dxa"/>
            <w:bottom w:w="0" w:type="dxa"/>
          </w:tblCellMar>
        </w:tblPrEx>
        <w:trPr>
          <w:cantSplit/>
          <w:trHeight w:val="560"/>
        </w:trPr>
        <w:tc>
          <w:tcPr>
            <w:tcW w:w="700" w:type="dxa"/>
            <w:tcMar>
              <w:top w:w="0" w:type="dxa"/>
              <w:bottom w:w="0" w:type="dxa"/>
            </w:tcMar>
            <w:vAlign w:val="center"/>
          </w:tcPr>
          <w:p w:rsidR="00DD0EB7" w:rsidRDefault="00000000">
            <w:pPr>
              <w:keepNext/>
              <w:keepLines/>
              <w:spacing w:after="0" w:line="240" w:lineRule="auto"/>
            </w:pPr>
            <w:r>
              <w:rPr>
                <w:sz w:val="18"/>
              </w:rPr>
              <w:t>3</w:t>
            </w:r>
          </w:p>
        </w:tc>
        <w:tc>
          <w:tcPr>
            <w:tcW w:w="3180" w:type="dxa"/>
            <w:tcMar>
              <w:top w:w="0" w:type="dxa"/>
              <w:bottom w:w="0" w:type="dxa"/>
            </w:tcMar>
            <w:vAlign w:val="center"/>
          </w:tcPr>
          <w:p w:rsidR="00DD0EB7"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rsidR="00DD0EB7" w:rsidRDefault="00000000">
            <w:pPr>
              <w:keepNext/>
              <w:keepLines/>
              <w:spacing w:after="0" w:line="240" w:lineRule="auto"/>
            </w:pPr>
            <w:r>
              <w:rPr>
                <w:sz w:val="18"/>
              </w:rPr>
              <w:t>3</w:t>
            </w:r>
          </w:p>
        </w:tc>
        <w:tc>
          <w:tcPr>
            <w:tcW w:w="1860" w:type="dxa"/>
            <w:tcMar>
              <w:top w:w="0" w:type="dxa"/>
              <w:bottom w:w="0" w:type="dxa"/>
            </w:tcMar>
            <w:vAlign w:val="center"/>
          </w:tcPr>
          <w:p w:rsidR="00DD0EB7" w:rsidRDefault="00000000">
            <w:pPr>
              <w:keepNext/>
              <w:keepLines/>
              <w:spacing w:after="0" w:line="240" w:lineRule="auto"/>
              <w:jc w:val="right"/>
            </w:pPr>
            <w:r>
              <w:rPr>
                <w:sz w:val="18"/>
              </w:rPr>
              <w:t>414.760,01</w:t>
            </w:r>
          </w:p>
        </w:tc>
        <w:tc>
          <w:tcPr>
            <w:tcW w:w="1860" w:type="dxa"/>
            <w:tcMar>
              <w:top w:w="0" w:type="dxa"/>
              <w:bottom w:w="0" w:type="dxa"/>
            </w:tcMar>
            <w:vAlign w:val="center"/>
          </w:tcPr>
          <w:p w:rsidR="00DD0EB7" w:rsidRDefault="00000000">
            <w:pPr>
              <w:keepNext/>
              <w:keepLines/>
              <w:spacing w:after="0" w:line="240" w:lineRule="auto"/>
              <w:jc w:val="right"/>
            </w:pPr>
            <w:r>
              <w:rPr>
                <w:sz w:val="18"/>
              </w:rPr>
              <w:t>620.499,03</w:t>
            </w:r>
          </w:p>
        </w:tc>
        <w:tc>
          <w:tcPr>
            <w:tcW w:w="700" w:type="dxa"/>
            <w:tcMar>
              <w:top w:w="0" w:type="dxa"/>
              <w:bottom w:w="0" w:type="dxa"/>
            </w:tcMar>
            <w:vAlign w:val="center"/>
          </w:tcPr>
          <w:p w:rsidR="00DD0EB7" w:rsidRDefault="00000000">
            <w:pPr>
              <w:keepNext/>
              <w:keepLines/>
              <w:spacing w:after="0" w:line="240" w:lineRule="auto"/>
              <w:jc w:val="right"/>
            </w:pPr>
            <w:r>
              <w:rPr>
                <w:sz w:val="18"/>
              </w:rPr>
              <w:t>149,6</w:t>
            </w:r>
          </w:p>
        </w:tc>
      </w:tr>
      <w:tr w:rsidR="00DD0EB7">
        <w:tblPrEx>
          <w:tblCellMar>
            <w:top w:w="0" w:type="dxa"/>
            <w:bottom w:w="0" w:type="dxa"/>
          </w:tblCellMar>
        </w:tblPrEx>
        <w:trPr>
          <w:cantSplit/>
          <w:trHeight w:val="560"/>
        </w:trPr>
        <w:tc>
          <w:tcPr>
            <w:tcW w:w="700" w:type="dxa"/>
            <w:tcMar>
              <w:top w:w="0" w:type="dxa"/>
              <w:bottom w:w="0" w:type="dxa"/>
            </w:tcMar>
            <w:vAlign w:val="center"/>
          </w:tcPr>
          <w:p w:rsidR="00DD0EB7" w:rsidRDefault="00DD0EB7">
            <w:pPr>
              <w:keepNext/>
              <w:keepLines/>
              <w:spacing w:after="0" w:line="240" w:lineRule="auto"/>
            </w:pPr>
          </w:p>
        </w:tc>
        <w:tc>
          <w:tcPr>
            <w:tcW w:w="3180" w:type="dxa"/>
            <w:tcMar>
              <w:top w:w="0" w:type="dxa"/>
              <w:bottom w:w="0" w:type="dxa"/>
            </w:tcMar>
            <w:vAlign w:val="center"/>
          </w:tcPr>
          <w:p w:rsidR="00DD0EB7"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rsidR="00DD0EB7" w:rsidRDefault="00000000">
            <w:pPr>
              <w:keepNext/>
              <w:keepLines/>
              <w:spacing w:after="0" w:line="240" w:lineRule="auto"/>
            </w:pPr>
            <w:r>
              <w:rPr>
                <w:b/>
                <w:sz w:val="18"/>
              </w:rPr>
              <w:t>X001</w:t>
            </w:r>
          </w:p>
        </w:tc>
        <w:tc>
          <w:tcPr>
            <w:tcW w:w="1860" w:type="dxa"/>
            <w:tcMar>
              <w:top w:w="0" w:type="dxa"/>
              <w:bottom w:w="0" w:type="dxa"/>
            </w:tcMar>
            <w:vAlign w:val="center"/>
          </w:tcPr>
          <w:p w:rsidR="00DD0EB7" w:rsidRDefault="00000000">
            <w:pPr>
              <w:keepNext/>
              <w:keepLines/>
              <w:spacing w:after="0" w:line="240" w:lineRule="auto"/>
              <w:jc w:val="right"/>
            </w:pPr>
            <w:r>
              <w:rPr>
                <w:b/>
                <w:sz w:val="18"/>
              </w:rPr>
              <w:t>14.521,75</w:t>
            </w:r>
          </w:p>
        </w:tc>
        <w:tc>
          <w:tcPr>
            <w:tcW w:w="1860" w:type="dxa"/>
            <w:tcMar>
              <w:top w:w="0" w:type="dxa"/>
              <w:bottom w:w="0" w:type="dxa"/>
            </w:tcMar>
            <w:vAlign w:val="center"/>
          </w:tcPr>
          <w:p w:rsidR="00DD0EB7" w:rsidRDefault="00000000">
            <w:pPr>
              <w:keepNext/>
              <w:keepLines/>
              <w:spacing w:after="0" w:line="240" w:lineRule="auto"/>
              <w:jc w:val="right"/>
            </w:pPr>
            <w:r>
              <w:rPr>
                <w:b/>
                <w:sz w:val="18"/>
              </w:rPr>
              <w:t>18.173,80</w:t>
            </w:r>
          </w:p>
        </w:tc>
        <w:tc>
          <w:tcPr>
            <w:tcW w:w="700" w:type="dxa"/>
            <w:tcMar>
              <w:top w:w="0" w:type="dxa"/>
              <w:bottom w:w="0" w:type="dxa"/>
            </w:tcMar>
            <w:vAlign w:val="center"/>
          </w:tcPr>
          <w:p w:rsidR="00DD0EB7" w:rsidRDefault="00000000">
            <w:pPr>
              <w:keepNext/>
              <w:keepLines/>
              <w:spacing w:after="0" w:line="240" w:lineRule="auto"/>
              <w:jc w:val="right"/>
            </w:pPr>
            <w:r>
              <w:rPr>
                <w:b/>
                <w:sz w:val="18"/>
              </w:rPr>
              <w:t>125,1</w:t>
            </w:r>
          </w:p>
        </w:tc>
      </w:tr>
      <w:tr w:rsidR="00DD0EB7">
        <w:tblPrEx>
          <w:tblCellMar>
            <w:top w:w="0" w:type="dxa"/>
            <w:bottom w:w="0" w:type="dxa"/>
          </w:tblCellMar>
        </w:tblPrEx>
        <w:trPr>
          <w:cantSplit/>
          <w:trHeight w:val="560"/>
        </w:trPr>
        <w:tc>
          <w:tcPr>
            <w:tcW w:w="700" w:type="dxa"/>
            <w:tcMar>
              <w:top w:w="0" w:type="dxa"/>
              <w:bottom w:w="0" w:type="dxa"/>
            </w:tcMar>
            <w:vAlign w:val="center"/>
          </w:tcPr>
          <w:p w:rsidR="00DD0EB7" w:rsidRDefault="00000000">
            <w:pPr>
              <w:keepNext/>
              <w:keepLines/>
              <w:spacing w:after="0" w:line="240" w:lineRule="auto"/>
            </w:pPr>
            <w:r>
              <w:rPr>
                <w:sz w:val="18"/>
              </w:rPr>
              <w:t>7</w:t>
            </w:r>
          </w:p>
        </w:tc>
        <w:tc>
          <w:tcPr>
            <w:tcW w:w="3180" w:type="dxa"/>
            <w:tcMar>
              <w:top w:w="0" w:type="dxa"/>
              <w:bottom w:w="0" w:type="dxa"/>
            </w:tcMar>
            <w:vAlign w:val="center"/>
          </w:tcPr>
          <w:p w:rsidR="00DD0EB7"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DD0EB7" w:rsidRDefault="00000000">
            <w:pPr>
              <w:keepNext/>
              <w:keepLines/>
              <w:spacing w:after="0" w:line="240" w:lineRule="auto"/>
            </w:pPr>
            <w:r>
              <w:rPr>
                <w:sz w:val="18"/>
              </w:rPr>
              <w:t>7</w:t>
            </w:r>
          </w:p>
        </w:tc>
        <w:tc>
          <w:tcPr>
            <w:tcW w:w="1860" w:type="dxa"/>
            <w:tcMar>
              <w:top w:w="0" w:type="dxa"/>
              <w:bottom w:w="0" w:type="dxa"/>
            </w:tcMar>
            <w:vAlign w:val="center"/>
          </w:tcPr>
          <w:p w:rsidR="00DD0EB7" w:rsidRDefault="00000000">
            <w:pPr>
              <w:keepNext/>
              <w:keepLines/>
              <w:spacing w:after="0" w:line="240" w:lineRule="auto"/>
              <w:jc w:val="right"/>
            </w:pPr>
            <w:r>
              <w:rPr>
                <w:sz w:val="18"/>
              </w:rPr>
              <w:t>0,00</w:t>
            </w:r>
          </w:p>
        </w:tc>
        <w:tc>
          <w:tcPr>
            <w:tcW w:w="1860" w:type="dxa"/>
            <w:tcMar>
              <w:top w:w="0" w:type="dxa"/>
              <w:bottom w:w="0" w:type="dxa"/>
            </w:tcMar>
            <w:vAlign w:val="center"/>
          </w:tcPr>
          <w:p w:rsidR="00DD0EB7" w:rsidRDefault="00000000">
            <w:pPr>
              <w:keepNext/>
              <w:keepLines/>
              <w:spacing w:after="0" w:line="240" w:lineRule="auto"/>
              <w:jc w:val="right"/>
            </w:pPr>
            <w:r>
              <w:rPr>
                <w:sz w:val="18"/>
              </w:rPr>
              <w:t>0,00</w:t>
            </w:r>
          </w:p>
        </w:tc>
        <w:tc>
          <w:tcPr>
            <w:tcW w:w="700" w:type="dxa"/>
            <w:tcMar>
              <w:top w:w="0" w:type="dxa"/>
              <w:bottom w:w="0" w:type="dxa"/>
            </w:tcMar>
            <w:vAlign w:val="center"/>
          </w:tcPr>
          <w:p w:rsidR="00DD0EB7" w:rsidRDefault="00000000">
            <w:pPr>
              <w:keepNext/>
              <w:keepLines/>
              <w:spacing w:after="0" w:line="240" w:lineRule="auto"/>
              <w:jc w:val="right"/>
            </w:pPr>
            <w:r>
              <w:rPr>
                <w:sz w:val="18"/>
              </w:rPr>
              <w:t>-</w:t>
            </w:r>
          </w:p>
        </w:tc>
      </w:tr>
      <w:tr w:rsidR="00DD0EB7">
        <w:tblPrEx>
          <w:tblCellMar>
            <w:top w:w="0" w:type="dxa"/>
            <w:bottom w:w="0" w:type="dxa"/>
          </w:tblCellMar>
        </w:tblPrEx>
        <w:trPr>
          <w:cantSplit/>
          <w:trHeight w:val="560"/>
        </w:trPr>
        <w:tc>
          <w:tcPr>
            <w:tcW w:w="700" w:type="dxa"/>
            <w:tcMar>
              <w:top w:w="0" w:type="dxa"/>
              <w:bottom w:w="0" w:type="dxa"/>
            </w:tcMar>
            <w:vAlign w:val="center"/>
          </w:tcPr>
          <w:p w:rsidR="00DD0EB7" w:rsidRDefault="00000000">
            <w:pPr>
              <w:keepNext/>
              <w:keepLines/>
              <w:spacing w:after="0" w:line="240" w:lineRule="auto"/>
            </w:pPr>
            <w:r>
              <w:rPr>
                <w:sz w:val="18"/>
              </w:rPr>
              <w:t>4</w:t>
            </w:r>
          </w:p>
        </w:tc>
        <w:tc>
          <w:tcPr>
            <w:tcW w:w="3180" w:type="dxa"/>
            <w:tcMar>
              <w:top w:w="0" w:type="dxa"/>
              <w:bottom w:w="0" w:type="dxa"/>
            </w:tcMar>
            <w:vAlign w:val="center"/>
          </w:tcPr>
          <w:p w:rsidR="00DD0EB7"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DD0EB7" w:rsidRDefault="00000000">
            <w:pPr>
              <w:keepNext/>
              <w:keepLines/>
              <w:spacing w:after="0" w:line="240" w:lineRule="auto"/>
            </w:pPr>
            <w:r>
              <w:rPr>
                <w:sz w:val="18"/>
              </w:rPr>
              <w:t>4</w:t>
            </w:r>
          </w:p>
        </w:tc>
        <w:tc>
          <w:tcPr>
            <w:tcW w:w="1860" w:type="dxa"/>
            <w:tcMar>
              <w:top w:w="0" w:type="dxa"/>
              <w:bottom w:w="0" w:type="dxa"/>
            </w:tcMar>
            <w:vAlign w:val="center"/>
          </w:tcPr>
          <w:p w:rsidR="00DD0EB7" w:rsidRDefault="00000000">
            <w:pPr>
              <w:keepNext/>
              <w:keepLines/>
              <w:spacing w:after="0" w:line="240" w:lineRule="auto"/>
              <w:jc w:val="right"/>
            </w:pPr>
            <w:r>
              <w:rPr>
                <w:sz w:val="18"/>
              </w:rPr>
              <w:t>4.761,25</w:t>
            </w:r>
          </w:p>
        </w:tc>
        <w:tc>
          <w:tcPr>
            <w:tcW w:w="1860" w:type="dxa"/>
            <w:tcMar>
              <w:top w:w="0" w:type="dxa"/>
              <w:bottom w:w="0" w:type="dxa"/>
            </w:tcMar>
            <w:vAlign w:val="center"/>
          </w:tcPr>
          <w:p w:rsidR="00DD0EB7" w:rsidRDefault="00000000">
            <w:pPr>
              <w:keepNext/>
              <w:keepLines/>
              <w:spacing w:after="0" w:line="240" w:lineRule="auto"/>
              <w:jc w:val="right"/>
            </w:pPr>
            <w:r>
              <w:rPr>
                <w:sz w:val="18"/>
              </w:rPr>
              <w:t>17.823,93</w:t>
            </w:r>
          </w:p>
        </w:tc>
        <w:tc>
          <w:tcPr>
            <w:tcW w:w="700" w:type="dxa"/>
            <w:tcMar>
              <w:top w:w="0" w:type="dxa"/>
              <w:bottom w:w="0" w:type="dxa"/>
            </w:tcMar>
            <w:vAlign w:val="center"/>
          </w:tcPr>
          <w:p w:rsidR="00DD0EB7" w:rsidRDefault="00000000">
            <w:pPr>
              <w:keepNext/>
              <w:keepLines/>
              <w:spacing w:after="0" w:line="240" w:lineRule="auto"/>
              <w:jc w:val="right"/>
            </w:pPr>
            <w:r>
              <w:rPr>
                <w:sz w:val="18"/>
              </w:rPr>
              <w:t>374,4</w:t>
            </w:r>
          </w:p>
        </w:tc>
      </w:tr>
      <w:tr w:rsidR="00DD0EB7">
        <w:tblPrEx>
          <w:tblCellMar>
            <w:top w:w="0" w:type="dxa"/>
            <w:bottom w:w="0" w:type="dxa"/>
          </w:tblCellMar>
        </w:tblPrEx>
        <w:trPr>
          <w:cantSplit/>
          <w:trHeight w:val="560"/>
        </w:trPr>
        <w:tc>
          <w:tcPr>
            <w:tcW w:w="700" w:type="dxa"/>
            <w:tcMar>
              <w:top w:w="0" w:type="dxa"/>
              <w:bottom w:w="0" w:type="dxa"/>
            </w:tcMar>
            <w:vAlign w:val="center"/>
          </w:tcPr>
          <w:p w:rsidR="00DD0EB7" w:rsidRDefault="00DD0EB7">
            <w:pPr>
              <w:keepNext/>
              <w:keepLines/>
              <w:spacing w:after="0" w:line="240" w:lineRule="auto"/>
            </w:pPr>
          </w:p>
        </w:tc>
        <w:tc>
          <w:tcPr>
            <w:tcW w:w="3180" w:type="dxa"/>
            <w:tcMar>
              <w:top w:w="0" w:type="dxa"/>
              <w:bottom w:w="0" w:type="dxa"/>
            </w:tcMar>
            <w:vAlign w:val="center"/>
          </w:tcPr>
          <w:p w:rsidR="00DD0EB7"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DD0EB7" w:rsidRDefault="00000000">
            <w:pPr>
              <w:keepNext/>
              <w:keepLines/>
              <w:spacing w:after="0" w:line="240" w:lineRule="auto"/>
            </w:pPr>
            <w:r>
              <w:rPr>
                <w:b/>
                <w:sz w:val="18"/>
              </w:rPr>
              <w:t>Y002</w:t>
            </w:r>
          </w:p>
        </w:tc>
        <w:tc>
          <w:tcPr>
            <w:tcW w:w="1860" w:type="dxa"/>
            <w:tcMar>
              <w:top w:w="0" w:type="dxa"/>
              <w:bottom w:w="0" w:type="dxa"/>
            </w:tcMar>
            <w:vAlign w:val="center"/>
          </w:tcPr>
          <w:p w:rsidR="00DD0EB7" w:rsidRDefault="00000000">
            <w:pPr>
              <w:keepNext/>
              <w:keepLines/>
              <w:spacing w:after="0" w:line="240" w:lineRule="auto"/>
              <w:jc w:val="right"/>
            </w:pPr>
            <w:r>
              <w:rPr>
                <w:b/>
                <w:sz w:val="18"/>
              </w:rPr>
              <w:t>4.761,25</w:t>
            </w:r>
          </w:p>
        </w:tc>
        <w:tc>
          <w:tcPr>
            <w:tcW w:w="1860" w:type="dxa"/>
            <w:tcMar>
              <w:top w:w="0" w:type="dxa"/>
              <w:bottom w:w="0" w:type="dxa"/>
            </w:tcMar>
            <w:vAlign w:val="center"/>
          </w:tcPr>
          <w:p w:rsidR="00DD0EB7" w:rsidRDefault="00000000">
            <w:pPr>
              <w:keepNext/>
              <w:keepLines/>
              <w:spacing w:after="0" w:line="240" w:lineRule="auto"/>
              <w:jc w:val="right"/>
            </w:pPr>
            <w:r>
              <w:rPr>
                <w:b/>
                <w:sz w:val="18"/>
              </w:rPr>
              <w:t>17.823,93</w:t>
            </w:r>
          </w:p>
        </w:tc>
        <w:tc>
          <w:tcPr>
            <w:tcW w:w="700" w:type="dxa"/>
            <w:tcMar>
              <w:top w:w="0" w:type="dxa"/>
              <w:bottom w:w="0" w:type="dxa"/>
            </w:tcMar>
            <w:vAlign w:val="center"/>
          </w:tcPr>
          <w:p w:rsidR="00DD0EB7" w:rsidRDefault="00000000">
            <w:pPr>
              <w:keepNext/>
              <w:keepLines/>
              <w:spacing w:after="0" w:line="240" w:lineRule="auto"/>
              <w:jc w:val="right"/>
            </w:pPr>
            <w:r>
              <w:rPr>
                <w:b/>
                <w:sz w:val="18"/>
              </w:rPr>
              <w:t>374,4</w:t>
            </w:r>
          </w:p>
        </w:tc>
      </w:tr>
      <w:tr w:rsidR="00DD0EB7">
        <w:tblPrEx>
          <w:tblCellMar>
            <w:top w:w="0" w:type="dxa"/>
            <w:bottom w:w="0" w:type="dxa"/>
          </w:tblCellMar>
        </w:tblPrEx>
        <w:trPr>
          <w:cantSplit/>
          <w:trHeight w:val="560"/>
        </w:trPr>
        <w:tc>
          <w:tcPr>
            <w:tcW w:w="700" w:type="dxa"/>
            <w:tcMar>
              <w:top w:w="0" w:type="dxa"/>
              <w:bottom w:w="0" w:type="dxa"/>
            </w:tcMar>
            <w:vAlign w:val="center"/>
          </w:tcPr>
          <w:p w:rsidR="00DD0EB7" w:rsidRDefault="00000000">
            <w:pPr>
              <w:keepNext/>
              <w:keepLines/>
              <w:spacing w:after="0" w:line="240" w:lineRule="auto"/>
            </w:pPr>
            <w:r>
              <w:rPr>
                <w:sz w:val="18"/>
              </w:rPr>
              <w:t>8</w:t>
            </w:r>
          </w:p>
        </w:tc>
        <w:tc>
          <w:tcPr>
            <w:tcW w:w="3180" w:type="dxa"/>
            <w:tcMar>
              <w:top w:w="0" w:type="dxa"/>
              <w:bottom w:w="0" w:type="dxa"/>
            </w:tcMar>
            <w:vAlign w:val="center"/>
          </w:tcPr>
          <w:p w:rsidR="00DD0EB7"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DD0EB7" w:rsidRDefault="00000000">
            <w:pPr>
              <w:keepNext/>
              <w:keepLines/>
              <w:spacing w:after="0" w:line="240" w:lineRule="auto"/>
            </w:pPr>
            <w:r>
              <w:rPr>
                <w:sz w:val="18"/>
              </w:rPr>
              <w:t>8</w:t>
            </w:r>
          </w:p>
        </w:tc>
        <w:tc>
          <w:tcPr>
            <w:tcW w:w="1860" w:type="dxa"/>
            <w:tcMar>
              <w:top w:w="0" w:type="dxa"/>
              <w:bottom w:w="0" w:type="dxa"/>
            </w:tcMar>
            <w:vAlign w:val="center"/>
          </w:tcPr>
          <w:p w:rsidR="00DD0EB7" w:rsidRDefault="00000000">
            <w:pPr>
              <w:keepNext/>
              <w:keepLines/>
              <w:spacing w:after="0" w:line="240" w:lineRule="auto"/>
              <w:jc w:val="right"/>
            </w:pPr>
            <w:r>
              <w:rPr>
                <w:sz w:val="18"/>
              </w:rPr>
              <w:t>0,00</w:t>
            </w:r>
          </w:p>
        </w:tc>
        <w:tc>
          <w:tcPr>
            <w:tcW w:w="1860" w:type="dxa"/>
            <w:tcMar>
              <w:top w:w="0" w:type="dxa"/>
              <w:bottom w:w="0" w:type="dxa"/>
            </w:tcMar>
            <w:vAlign w:val="center"/>
          </w:tcPr>
          <w:p w:rsidR="00DD0EB7" w:rsidRDefault="00000000">
            <w:pPr>
              <w:keepNext/>
              <w:keepLines/>
              <w:spacing w:after="0" w:line="240" w:lineRule="auto"/>
              <w:jc w:val="right"/>
            </w:pPr>
            <w:r>
              <w:rPr>
                <w:sz w:val="18"/>
              </w:rPr>
              <w:t>0,00</w:t>
            </w:r>
          </w:p>
        </w:tc>
        <w:tc>
          <w:tcPr>
            <w:tcW w:w="700" w:type="dxa"/>
            <w:tcMar>
              <w:top w:w="0" w:type="dxa"/>
              <w:bottom w:w="0" w:type="dxa"/>
            </w:tcMar>
            <w:vAlign w:val="center"/>
          </w:tcPr>
          <w:p w:rsidR="00DD0EB7" w:rsidRDefault="00000000">
            <w:pPr>
              <w:keepNext/>
              <w:keepLines/>
              <w:spacing w:after="0" w:line="240" w:lineRule="auto"/>
              <w:jc w:val="right"/>
            </w:pPr>
            <w:r>
              <w:rPr>
                <w:sz w:val="18"/>
              </w:rPr>
              <w:t>-</w:t>
            </w:r>
          </w:p>
        </w:tc>
      </w:tr>
      <w:tr w:rsidR="00DD0EB7">
        <w:tblPrEx>
          <w:tblCellMar>
            <w:top w:w="0" w:type="dxa"/>
            <w:bottom w:w="0" w:type="dxa"/>
          </w:tblCellMar>
        </w:tblPrEx>
        <w:trPr>
          <w:cantSplit/>
          <w:trHeight w:val="560"/>
        </w:trPr>
        <w:tc>
          <w:tcPr>
            <w:tcW w:w="700" w:type="dxa"/>
            <w:tcMar>
              <w:top w:w="0" w:type="dxa"/>
              <w:bottom w:w="0" w:type="dxa"/>
            </w:tcMar>
            <w:vAlign w:val="center"/>
          </w:tcPr>
          <w:p w:rsidR="00DD0EB7" w:rsidRDefault="00000000">
            <w:pPr>
              <w:keepNext/>
              <w:keepLines/>
              <w:spacing w:after="0" w:line="240" w:lineRule="auto"/>
            </w:pPr>
            <w:r>
              <w:rPr>
                <w:sz w:val="18"/>
              </w:rPr>
              <w:t>5</w:t>
            </w:r>
          </w:p>
        </w:tc>
        <w:tc>
          <w:tcPr>
            <w:tcW w:w="3180" w:type="dxa"/>
            <w:tcMar>
              <w:top w:w="0" w:type="dxa"/>
              <w:bottom w:w="0" w:type="dxa"/>
            </w:tcMar>
            <w:vAlign w:val="center"/>
          </w:tcPr>
          <w:p w:rsidR="00DD0EB7"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DD0EB7" w:rsidRDefault="00000000">
            <w:pPr>
              <w:keepNext/>
              <w:keepLines/>
              <w:spacing w:after="0" w:line="240" w:lineRule="auto"/>
            </w:pPr>
            <w:r>
              <w:rPr>
                <w:sz w:val="18"/>
              </w:rPr>
              <w:t>5</w:t>
            </w:r>
          </w:p>
        </w:tc>
        <w:tc>
          <w:tcPr>
            <w:tcW w:w="1860" w:type="dxa"/>
            <w:tcMar>
              <w:top w:w="0" w:type="dxa"/>
              <w:bottom w:w="0" w:type="dxa"/>
            </w:tcMar>
            <w:vAlign w:val="center"/>
          </w:tcPr>
          <w:p w:rsidR="00DD0EB7" w:rsidRDefault="00000000">
            <w:pPr>
              <w:keepNext/>
              <w:keepLines/>
              <w:spacing w:after="0" w:line="240" w:lineRule="auto"/>
              <w:jc w:val="right"/>
            </w:pPr>
            <w:r>
              <w:rPr>
                <w:sz w:val="18"/>
              </w:rPr>
              <w:t>18.721,26</w:t>
            </w:r>
          </w:p>
        </w:tc>
        <w:tc>
          <w:tcPr>
            <w:tcW w:w="1860" w:type="dxa"/>
            <w:tcMar>
              <w:top w:w="0" w:type="dxa"/>
              <w:bottom w:w="0" w:type="dxa"/>
            </w:tcMar>
            <w:vAlign w:val="center"/>
          </w:tcPr>
          <w:p w:rsidR="00DD0EB7" w:rsidRDefault="00000000">
            <w:pPr>
              <w:keepNext/>
              <w:keepLines/>
              <w:spacing w:after="0" w:line="240" w:lineRule="auto"/>
              <w:jc w:val="right"/>
            </w:pPr>
            <w:r>
              <w:rPr>
                <w:sz w:val="18"/>
              </w:rPr>
              <w:t>18.701,26</w:t>
            </w:r>
          </w:p>
        </w:tc>
        <w:tc>
          <w:tcPr>
            <w:tcW w:w="700" w:type="dxa"/>
            <w:tcMar>
              <w:top w:w="0" w:type="dxa"/>
              <w:bottom w:w="0" w:type="dxa"/>
            </w:tcMar>
            <w:vAlign w:val="center"/>
          </w:tcPr>
          <w:p w:rsidR="00DD0EB7" w:rsidRDefault="00000000">
            <w:pPr>
              <w:keepNext/>
              <w:keepLines/>
              <w:spacing w:after="0" w:line="240" w:lineRule="auto"/>
              <w:jc w:val="right"/>
            </w:pPr>
            <w:r>
              <w:rPr>
                <w:sz w:val="18"/>
              </w:rPr>
              <w:t>99,9</w:t>
            </w:r>
          </w:p>
        </w:tc>
      </w:tr>
      <w:tr w:rsidR="00DD0EB7">
        <w:tblPrEx>
          <w:tblCellMar>
            <w:top w:w="0" w:type="dxa"/>
            <w:bottom w:w="0" w:type="dxa"/>
          </w:tblCellMar>
        </w:tblPrEx>
        <w:trPr>
          <w:cantSplit/>
          <w:trHeight w:val="560"/>
        </w:trPr>
        <w:tc>
          <w:tcPr>
            <w:tcW w:w="700" w:type="dxa"/>
            <w:tcMar>
              <w:top w:w="0" w:type="dxa"/>
              <w:bottom w:w="0" w:type="dxa"/>
            </w:tcMar>
            <w:vAlign w:val="center"/>
          </w:tcPr>
          <w:p w:rsidR="00DD0EB7" w:rsidRDefault="00DD0EB7">
            <w:pPr>
              <w:keepNext/>
              <w:keepLines/>
              <w:spacing w:after="0" w:line="240" w:lineRule="auto"/>
            </w:pPr>
          </w:p>
        </w:tc>
        <w:tc>
          <w:tcPr>
            <w:tcW w:w="3180" w:type="dxa"/>
            <w:tcMar>
              <w:top w:w="0" w:type="dxa"/>
              <w:bottom w:w="0" w:type="dxa"/>
            </w:tcMar>
            <w:vAlign w:val="center"/>
          </w:tcPr>
          <w:p w:rsidR="00DD0EB7"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rsidR="00DD0EB7" w:rsidRDefault="00000000">
            <w:pPr>
              <w:keepNext/>
              <w:keepLines/>
              <w:spacing w:after="0" w:line="240" w:lineRule="auto"/>
            </w:pPr>
            <w:r>
              <w:rPr>
                <w:b/>
                <w:sz w:val="18"/>
              </w:rPr>
              <w:t>Y003</w:t>
            </w:r>
          </w:p>
        </w:tc>
        <w:tc>
          <w:tcPr>
            <w:tcW w:w="1860" w:type="dxa"/>
            <w:tcMar>
              <w:top w:w="0" w:type="dxa"/>
              <w:bottom w:w="0" w:type="dxa"/>
            </w:tcMar>
            <w:vAlign w:val="center"/>
          </w:tcPr>
          <w:p w:rsidR="00DD0EB7" w:rsidRDefault="00000000">
            <w:pPr>
              <w:keepNext/>
              <w:keepLines/>
              <w:spacing w:after="0" w:line="240" w:lineRule="auto"/>
              <w:jc w:val="right"/>
            </w:pPr>
            <w:r>
              <w:rPr>
                <w:b/>
                <w:sz w:val="18"/>
              </w:rPr>
              <w:t>18.721,26</w:t>
            </w:r>
          </w:p>
        </w:tc>
        <w:tc>
          <w:tcPr>
            <w:tcW w:w="1860" w:type="dxa"/>
            <w:tcMar>
              <w:top w:w="0" w:type="dxa"/>
              <w:bottom w:w="0" w:type="dxa"/>
            </w:tcMar>
            <w:vAlign w:val="center"/>
          </w:tcPr>
          <w:p w:rsidR="00DD0EB7" w:rsidRDefault="00000000">
            <w:pPr>
              <w:keepNext/>
              <w:keepLines/>
              <w:spacing w:after="0" w:line="240" w:lineRule="auto"/>
              <w:jc w:val="right"/>
            </w:pPr>
            <w:r>
              <w:rPr>
                <w:b/>
                <w:sz w:val="18"/>
              </w:rPr>
              <w:t>18.701,26</w:t>
            </w:r>
          </w:p>
        </w:tc>
        <w:tc>
          <w:tcPr>
            <w:tcW w:w="700" w:type="dxa"/>
            <w:tcMar>
              <w:top w:w="0" w:type="dxa"/>
              <w:bottom w:w="0" w:type="dxa"/>
            </w:tcMar>
            <w:vAlign w:val="center"/>
          </w:tcPr>
          <w:p w:rsidR="00DD0EB7" w:rsidRDefault="00000000">
            <w:pPr>
              <w:keepNext/>
              <w:keepLines/>
              <w:spacing w:after="0" w:line="240" w:lineRule="auto"/>
              <w:jc w:val="right"/>
            </w:pPr>
            <w:r>
              <w:rPr>
                <w:b/>
                <w:sz w:val="18"/>
              </w:rPr>
              <w:t>99,9</w:t>
            </w:r>
          </w:p>
        </w:tc>
      </w:tr>
      <w:tr w:rsidR="00DD0EB7">
        <w:tblPrEx>
          <w:tblCellMar>
            <w:top w:w="0" w:type="dxa"/>
            <w:bottom w:w="0" w:type="dxa"/>
          </w:tblCellMar>
        </w:tblPrEx>
        <w:trPr>
          <w:cantSplit/>
          <w:trHeight w:val="560"/>
        </w:trPr>
        <w:tc>
          <w:tcPr>
            <w:tcW w:w="700" w:type="dxa"/>
            <w:tcMar>
              <w:top w:w="0" w:type="dxa"/>
              <w:bottom w:w="0" w:type="dxa"/>
            </w:tcMar>
            <w:vAlign w:val="center"/>
          </w:tcPr>
          <w:p w:rsidR="00DD0EB7" w:rsidRDefault="00DD0EB7">
            <w:pPr>
              <w:keepNext/>
              <w:keepLines/>
              <w:spacing w:after="0" w:line="240" w:lineRule="auto"/>
            </w:pPr>
          </w:p>
        </w:tc>
        <w:tc>
          <w:tcPr>
            <w:tcW w:w="3180" w:type="dxa"/>
            <w:tcMar>
              <w:top w:w="0" w:type="dxa"/>
              <w:bottom w:w="0" w:type="dxa"/>
            </w:tcMar>
            <w:vAlign w:val="center"/>
          </w:tcPr>
          <w:p w:rsidR="00DD0EB7"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rsidR="00DD0EB7" w:rsidRDefault="00000000">
            <w:pPr>
              <w:keepNext/>
              <w:keepLines/>
              <w:spacing w:after="0" w:line="240" w:lineRule="auto"/>
            </w:pPr>
            <w:r>
              <w:rPr>
                <w:b/>
                <w:sz w:val="18"/>
              </w:rPr>
              <w:t>Y005</w:t>
            </w:r>
          </w:p>
        </w:tc>
        <w:tc>
          <w:tcPr>
            <w:tcW w:w="1860" w:type="dxa"/>
            <w:tcMar>
              <w:top w:w="0" w:type="dxa"/>
              <w:bottom w:w="0" w:type="dxa"/>
            </w:tcMar>
            <w:vAlign w:val="center"/>
          </w:tcPr>
          <w:p w:rsidR="00DD0EB7" w:rsidRDefault="00000000">
            <w:pPr>
              <w:keepNext/>
              <w:keepLines/>
              <w:spacing w:after="0" w:line="240" w:lineRule="auto"/>
              <w:jc w:val="right"/>
            </w:pPr>
            <w:r>
              <w:rPr>
                <w:b/>
                <w:sz w:val="18"/>
              </w:rPr>
              <w:t>8.960,76</w:t>
            </w:r>
          </w:p>
        </w:tc>
        <w:tc>
          <w:tcPr>
            <w:tcW w:w="1860" w:type="dxa"/>
            <w:tcMar>
              <w:top w:w="0" w:type="dxa"/>
              <w:bottom w:w="0" w:type="dxa"/>
            </w:tcMar>
            <w:vAlign w:val="center"/>
          </w:tcPr>
          <w:p w:rsidR="00DD0EB7" w:rsidRDefault="00000000">
            <w:pPr>
              <w:keepNext/>
              <w:keepLines/>
              <w:spacing w:after="0" w:line="240" w:lineRule="auto"/>
              <w:jc w:val="right"/>
            </w:pPr>
            <w:r>
              <w:rPr>
                <w:b/>
                <w:sz w:val="18"/>
              </w:rPr>
              <w:t>18.351,39</w:t>
            </w:r>
          </w:p>
        </w:tc>
        <w:tc>
          <w:tcPr>
            <w:tcW w:w="700" w:type="dxa"/>
            <w:tcMar>
              <w:top w:w="0" w:type="dxa"/>
              <w:bottom w:w="0" w:type="dxa"/>
            </w:tcMar>
            <w:vAlign w:val="center"/>
          </w:tcPr>
          <w:p w:rsidR="00DD0EB7" w:rsidRDefault="00000000">
            <w:pPr>
              <w:keepNext/>
              <w:keepLines/>
              <w:spacing w:after="0" w:line="240" w:lineRule="auto"/>
              <w:jc w:val="right"/>
            </w:pPr>
            <w:r>
              <w:rPr>
                <w:b/>
                <w:sz w:val="18"/>
              </w:rPr>
              <w:t>204,8</w:t>
            </w:r>
          </w:p>
        </w:tc>
      </w:tr>
    </w:tbl>
    <w:p w:rsidR="00DD0EB7" w:rsidRDefault="00DD0EB7">
      <w:pPr>
        <w:spacing w:after="0"/>
      </w:pPr>
    </w:p>
    <w:p w:rsidR="00DD0EB7" w:rsidRDefault="00000000">
      <w:pPr>
        <w:spacing w:line="240" w:lineRule="auto"/>
        <w:jc w:val="both"/>
      </w:pPr>
      <w:r>
        <w:t>Višak prihoda poslovanja (šifra X001) odnosi se na prihode kojima se pokrivaju rashodi za nabavu nefinancijske imovine i izdataka za financijsku imovinu i otplatu zajmova. Manjak prihoda od nefinancijske imovine i manjak od financijske imovine i zaduživanja poriva se prihodima poslovanja. Proračunski korisnik ne ostvaruje prihode od prodaje nefinancijske imovine  i primitke od financijske imovine i zaduženja.</w:t>
      </w:r>
    </w:p>
    <w:p w:rsidR="00DD0EB7" w:rsidRDefault="00000000">
      <w:r>
        <w:lastRenderedPageBreak/>
        <w:br/>
      </w:r>
    </w:p>
    <w:p w:rsidR="00DD0EB7"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D0EB7">
        <w:tblPrEx>
          <w:tblCellMar>
            <w:top w:w="0" w:type="dxa"/>
            <w:bottom w:w="0" w:type="dxa"/>
          </w:tblCellMar>
        </w:tblPrEx>
        <w:trPr>
          <w:cantSplit/>
        </w:trPr>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Indeks (%)</w:t>
            </w:r>
          </w:p>
        </w:tc>
      </w:tr>
      <w:tr w:rsidR="00DD0EB7">
        <w:tblPrEx>
          <w:tblCellMar>
            <w:top w:w="0" w:type="dxa"/>
            <w:bottom w:w="0" w:type="dxa"/>
          </w:tblCellMar>
        </w:tblPrEx>
        <w:trPr>
          <w:cantSplit/>
          <w:trHeight w:val="560"/>
        </w:trPr>
        <w:tc>
          <w:tcPr>
            <w:tcW w:w="700" w:type="dxa"/>
            <w:tcMar>
              <w:top w:w="0" w:type="dxa"/>
              <w:bottom w:w="0" w:type="dxa"/>
            </w:tcMar>
            <w:vAlign w:val="center"/>
          </w:tcPr>
          <w:p w:rsidR="00DD0EB7" w:rsidRDefault="00000000">
            <w:pPr>
              <w:keepNext/>
              <w:keepLines/>
              <w:spacing w:after="0" w:line="240" w:lineRule="auto"/>
            </w:pPr>
            <w:r>
              <w:rPr>
                <w:sz w:val="18"/>
              </w:rPr>
              <w:t>6361</w:t>
            </w:r>
          </w:p>
        </w:tc>
        <w:tc>
          <w:tcPr>
            <w:tcW w:w="3180" w:type="dxa"/>
            <w:tcMar>
              <w:top w:w="0" w:type="dxa"/>
              <w:bottom w:w="0" w:type="dxa"/>
            </w:tcMar>
            <w:vAlign w:val="center"/>
          </w:tcPr>
          <w:p w:rsidR="00DD0EB7"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DD0EB7" w:rsidRDefault="00000000">
            <w:pPr>
              <w:keepNext/>
              <w:keepLines/>
              <w:spacing w:after="0" w:line="240" w:lineRule="auto"/>
            </w:pPr>
            <w:r>
              <w:rPr>
                <w:sz w:val="18"/>
              </w:rPr>
              <w:t>6361</w:t>
            </w:r>
          </w:p>
        </w:tc>
        <w:tc>
          <w:tcPr>
            <w:tcW w:w="1860" w:type="dxa"/>
            <w:tcMar>
              <w:top w:w="0" w:type="dxa"/>
              <w:bottom w:w="0" w:type="dxa"/>
            </w:tcMar>
            <w:vAlign w:val="center"/>
          </w:tcPr>
          <w:p w:rsidR="00DD0EB7" w:rsidRDefault="00000000">
            <w:pPr>
              <w:keepNext/>
              <w:keepLines/>
              <w:spacing w:after="0" w:line="240" w:lineRule="auto"/>
              <w:jc w:val="right"/>
            </w:pPr>
            <w:r>
              <w:rPr>
                <w:sz w:val="18"/>
              </w:rPr>
              <w:t>2.086,40</w:t>
            </w:r>
          </w:p>
        </w:tc>
        <w:tc>
          <w:tcPr>
            <w:tcW w:w="1860" w:type="dxa"/>
            <w:tcMar>
              <w:top w:w="0" w:type="dxa"/>
              <w:bottom w:w="0" w:type="dxa"/>
            </w:tcMar>
            <w:vAlign w:val="center"/>
          </w:tcPr>
          <w:p w:rsidR="00DD0EB7" w:rsidRDefault="00000000">
            <w:pPr>
              <w:keepNext/>
              <w:keepLines/>
              <w:spacing w:after="0" w:line="240" w:lineRule="auto"/>
              <w:jc w:val="right"/>
            </w:pPr>
            <w:r>
              <w:rPr>
                <w:sz w:val="18"/>
              </w:rPr>
              <w:t>400,00</w:t>
            </w:r>
          </w:p>
        </w:tc>
        <w:tc>
          <w:tcPr>
            <w:tcW w:w="700" w:type="dxa"/>
            <w:tcMar>
              <w:top w:w="0" w:type="dxa"/>
              <w:bottom w:w="0" w:type="dxa"/>
            </w:tcMar>
            <w:vAlign w:val="center"/>
          </w:tcPr>
          <w:p w:rsidR="00DD0EB7" w:rsidRDefault="00000000">
            <w:pPr>
              <w:keepNext/>
              <w:keepLines/>
              <w:spacing w:after="0" w:line="240" w:lineRule="auto"/>
              <w:jc w:val="right"/>
            </w:pPr>
            <w:r>
              <w:rPr>
                <w:sz w:val="18"/>
              </w:rPr>
              <w:t>19,2</w:t>
            </w:r>
          </w:p>
        </w:tc>
      </w:tr>
    </w:tbl>
    <w:p w:rsidR="00DD0EB7" w:rsidRDefault="00DD0EB7">
      <w:pPr>
        <w:spacing w:after="0"/>
      </w:pPr>
    </w:p>
    <w:p w:rsidR="00DD0EB7" w:rsidRDefault="00000000">
      <w:pPr>
        <w:spacing w:line="240" w:lineRule="auto"/>
        <w:jc w:val="both"/>
      </w:pPr>
      <w:r>
        <w:t>6361 - Tekuće pomoći proračunskim korisnicima iz proračuna koji im nije nadležan odnose se na sredstva koja doznačuje Ministarstvo znanosti, obrazovanja i mladih za financiranje programa javnih potreba u predškolskom odgoju i obrazovanju za darovitu djecu, djecu s teškoćama u razvoju i provođenje programa predškole. S obzirom na to da se dinamika isplate sredstava određujem odlukom Ministarstva, proračunski korisnik nema utjecaj na vremensko razdoblje u kojem će ostvariti navedeni prihod te je sukladno tome prihod u tekućem razdoblju manji u odnosu na isto razdoblje prethodne godine.</w:t>
      </w:r>
    </w:p>
    <w:p w:rsidR="00DD0EB7" w:rsidRDefault="00DD0EB7"/>
    <w:p w:rsidR="00DD0EB7"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D0EB7">
        <w:tblPrEx>
          <w:tblCellMar>
            <w:top w:w="0" w:type="dxa"/>
            <w:bottom w:w="0" w:type="dxa"/>
          </w:tblCellMar>
        </w:tblPrEx>
        <w:trPr>
          <w:cantSplit/>
        </w:trPr>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Indeks (%)</w:t>
            </w:r>
          </w:p>
        </w:tc>
      </w:tr>
      <w:tr w:rsidR="00DD0EB7">
        <w:tblPrEx>
          <w:tblCellMar>
            <w:top w:w="0" w:type="dxa"/>
            <w:bottom w:w="0" w:type="dxa"/>
          </w:tblCellMar>
        </w:tblPrEx>
        <w:trPr>
          <w:cantSplit/>
          <w:trHeight w:val="560"/>
        </w:trPr>
        <w:tc>
          <w:tcPr>
            <w:tcW w:w="700" w:type="dxa"/>
            <w:tcMar>
              <w:top w:w="0" w:type="dxa"/>
              <w:bottom w:w="0" w:type="dxa"/>
            </w:tcMar>
            <w:vAlign w:val="center"/>
          </w:tcPr>
          <w:p w:rsidR="00DD0EB7" w:rsidRDefault="00000000">
            <w:pPr>
              <w:keepNext/>
              <w:keepLines/>
              <w:spacing w:after="0" w:line="240" w:lineRule="auto"/>
            </w:pPr>
            <w:r>
              <w:rPr>
                <w:sz w:val="18"/>
              </w:rPr>
              <w:t>6362</w:t>
            </w:r>
          </w:p>
        </w:tc>
        <w:tc>
          <w:tcPr>
            <w:tcW w:w="3180" w:type="dxa"/>
            <w:tcMar>
              <w:top w:w="0" w:type="dxa"/>
              <w:bottom w:w="0" w:type="dxa"/>
            </w:tcMar>
            <w:vAlign w:val="center"/>
          </w:tcPr>
          <w:p w:rsidR="00DD0EB7"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rsidR="00DD0EB7" w:rsidRDefault="00000000">
            <w:pPr>
              <w:keepNext/>
              <w:keepLines/>
              <w:spacing w:after="0" w:line="240" w:lineRule="auto"/>
            </w:pPr>
            <w:r>
              <w:rPr>
                <w:sz w:val="18"/>
              </w:rPr>
              <w:t>6362</w:t>
            </w:r>
          </w:p>
        </w:tc>
        <w:tc>
          <w:tcPr>
            <w:tcW w:w="1860" w:type="dxa"/>
            <w:tcMar>
              <w:top w:w="0" w:type="dxa"/>
              <w:bottom w:w="0" w:type="dxa"/>
            </w:tcMar>
            <w:vAlign w:val="center"/>
          </w:tcPr>
          <w:p w:rsidR="00DD0EB7" w:rsidRDefault="00000000">
            <w:pPr>
              <w:keepNext/>
              <w:keepLines/>
              <w:spacing w:after="0" w:line="240" w:lineRule="auto"/>
              <w:jc w:val="right"/>
            </w:pPr>
            <w:r>
              <w:rPr>
                <w:sz w:val="18"/>
              </w:rPr>
              <w:t>0,00</w:t>
            </w:r>
          </w:p>
        </w:tc>
        <w:tc>
          <w:tcPr>
            <w:tcW w:w="1860" w:type="dxa"/>
            <w:tcMar>
              <w:top w:w="0" w:type="dxa"/>
              <w:bottom w:w="0" w:type="dxa"/>
            </w:tcMar>
            <w:vAlign w:val="center"/>
          </w:tcPr>
          <w:p w:rsidR="00DD0EB7" w:rsidRDefault="00000000">
            <w:pPr>
              <w:keepNext/>
              <w:keepLines/>
              <w:spacing w:after="0" w:line="240" w:lineRule="auto"/>
              <w:jc w:val="right"/>
            </w:pPr>
            <w:r>
              <w:rPr>
                <w:sz w:val="18"/>
              </w:rPr>
              <w:t>2.921,71</w:t>
            </w:r>
          </w:p>
        </w:tc>
        <w:tc>
          <w:tcPr>
            <w:tcW w:w="700" w:type="dxa"/>
            <w:tcMar>
              <w:top w:w="0" w:type="dxa"/>
              <w:bottom w:w="0" w:type="dxa"/>
            </w:tcMar>
            <w:vAlign w:val="center"/>
          </w:tcPr>
          <w:p w:rsidR="00DD0EB7" w:rsidRDefault="00000000">
            <w:pPr>
              <w:keepNext/>
              <w:keepLines/>
              <w:spacing w:after="0" w:line="240" w:lineRule="auto"/>
              <w:jc w:val="right"/>
            </w:pPr>
            <w:r>
              <w:rPr>
                <w:sz w:val="18"/>
              </w:rPr>
              <w:t>-</w:t>
            </w:r>
          </w:p>
        </w:tc>
      </w:tr>
    </w:tbl>
    <w:p w:rsidR="00DD0EB7" w:rsidRDefault="00DD0EB7">
      <w:pPr>
        <w:spacing w:after="0"/>
      </w:pPr>
    </w:p>
    <w:p w:rsidR="00DD0EB7" w:rsidRDefault="00000000">
      <w:pPr>
        <w:spacing w:line="240" w:lineRule="auto"/>
        <w:jc w:val="both"/>
      </w:pPr>
      <w:r>
        <w:t>6362 - Prihodi od kapitalne pomoći proračunskim korisnicima iz proračuna koji im nije nadležan odnose se na prihod ostvaren po projektu "Zagorski cipelcug" ostvaren po natječaju za dječji participativni proračun koji je provela Krapinsko zagorska županija. Sredstva su namijenjena za opremanje vrtićke dvorane (sprave za vježbanje i tjelesnu aktivnost). U prethodnom razdoblju nije bilo takve vrste prihoda s obzirom na to da nije bilo prijava na takvu vrstu natječaja.</w:t>
      </w:r>
    </w:p>
    <w:p w:rsidR="00DD0EB7" w:rsidRDefault="00DD0EB7"/>
    <w:p w:rsidR="00DD0EB7"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D0EB7">
        <w:tblPrEx>
          <w:tblCellMar>
            <w:top w:w="0" w:type="dxa"/>
            <w:bottom w:w="0" w:type="dxa"/>
          </w:tblCellMar>
        </w:tblPrEx>
        <w:trPr>
          <w:cantSplit/>
        </w:trPr>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Indeks (%)</w:t>
            </w:r>
          </w:p>
        </w:tc>
      </w:tr>
      <w:tr w:rsidR="00DD0EB7">
        <w:tblPrEx>
          <w:tblCellMar>
            <w:top w:w="0" w:type="dxa"/>
            <w:bottom w:w="0" w:type="dxa"/>
          </w:tblCellMar>
        </w:tblPrEx>
        <w:trPr>
          <w:cantSplit/>
          <w:trHeight w:val="560"/>
        </w:trPr>
        <w:tc>
          <w:tcPr>
            <w:tcW w:w="700" w:type="dxa"/>
            <w:tcMar>
              <w:top w:w="0" w:type="dxa"/>
              <w:bottom w:w="0" w:type="dxa"/>
            </w:tcMar>
            <w:vAlign w:val="center"/>
          </w:tcPr>
          <w:p w:rsidR="00DD0EB7" w:rsidRDefault="00000000">
            <w:pPr>
              <w:keepNext/>
              <w:keepLines/>
              <w:spacing w:after="0" w:line="240" w:lineRule="auto"/>
            </w:pPr>
            <w:r>
              <w:rPr>
                <w:sz w:val="18"/>
              </w:rPr>
              <w:t>6526</w:t>
            </w:r>
          </w:p>
        </w:tc>
        <w:tc>
          <w:tcPr>
            <w:tcW w:w="3180" w:type="dxa"/>
            <w:tcMar>
              <w:top w:w="0" w:type="dxa"/>
              <w:bottom w:w="0" w:type="dxa"/>
            </w:tcMar>
            <w:vAlign w:val="center"/>
          </w:tcPr>
          <w:p w:rsidR="00DD0EB7" w:rsidRDefault="00000000">
            <w:pPr>
              <w:keepNext/>
              <w:keepLines/>
              <w:spacing w:after="0" w:line="240" w:lineRule="auto"/>
            </w:pPr>
            <w:r>
              <w:rPr>
                <w:sz w:val="18"/>
              </w:rPr>
              <w:t>Ostali nespomenuti prihodi</w:t>
            </w:r>
          </w:p>
        </w:tc>
        <w:tc>
          <w:tcPr>
            <w:tcW w:w="700" w:type="dxa"/>
            <w:tcMar>
              <w:top w:w="0" w:type="dxa"/>
              <w:bottom w:w="0" w:type="dxa"/>
            </w:tcMar>
            <w:vAlign w:val="center"/>
          </w:tcPr>
          <w:p w:rsidR="00DD0EB7" w:rsidRDefault="00000000">
            <w:pPr>
              <w:keepNext/>
              <w:keepLines/>
              <w:spacing w:after="0" w:line="240" w:lineRule="auto"/>
            </w:pPr>
            <w:r>
              <w:rPr>
                <w:sz w:val="18"/>
              </w:rPr>
              <w:t>6526</w:t>
            </w:r>
          </w:p>
        </w:tc>
        <w:tc>
          <w:tcPr>
            <w:tcW w:w="1860" w:type="dxa"/>
            <w:tcMar>
              <w:top w:w="0" w:type="dxa"/>
              <w:bottom w:w="0" w:type="dxa"/>
            </w:tcMar>
            <w:vAlign w:val="center"/>
          </w:tcPr>
          <w:p w:rsidR="00DD0EB7" w:rsidRDefault="00000000">
            <w:pPr>
              <w:keepNext/>
              <w:keepLines/>
              <w:spacing w:after="0" w:line="240" w:lineRule="auto"/>
              <w:jc w:val="right"/>
            </w:pPr>
            <w:r>
              <w:rPr>
                <w:sz w:val="18"/>
              </w:rPr>
              <w:t>122.799,54</w:t>
            </w:r>
          </w:p>
        </w:tc>
        <w:tc>
          <w:tcPr>
            <w:tcW w:w="1860" w:type="dxa"/>
            <w:tcMar>
              <w:top w:w="0" w:type="dxa"/>
              <w:bottom w:w="0" w:type="dxa"/>
            </w:tcMar>
            <w:vAlign w:val="center"/>
          </w:tcPr>
          <w:p w:rsidR="00DD0EB7" w:rsidRDefault="00000000">
            <w:pPr>
              <w:keepNext/>
              <w:keepLines/>
              <w:spacing w:after="0" w:line="240" w:lineRule="auto"/>
              <w:jc w:val="right"/>
            </w:pPr>
            <w:r>
              <w:rPr>
                <w:sz w:val="18"/>
              </w:rPr>
              <w:t>135.291,73</w:t>
            </w:r>
          </w:p>
        </w:tc>
        <w:tc>
          <w:tcPr>
            <w:tcW w:w="700" w:type="dxa"/>
            <w:tcMar>
              <w:top w:w="0" w:type="dxa"/>
              <w:bottom w:w="0" w:type="dxa"/>
            </w:tcMar>
            <w:vAlign w:val="center"/>
          </w:tcPr>
          <w:p w:rsidR="00DD0EB7" w:rsidRDefault="00000000">
            <w:pPr>
              <w:keepNext/>
              <w:keepLines/>
              <w:spacing w:after="0" w:line="240" w:lineRule="auto"/>
              <w:jc w:val="right"/>
            </w:pPr>
            <w:r>
              <w:rPr>
                <w:sz w:val="18"/>
              </w:rPr>
              <w:t>110,2</w:t>
            </w:r>
          </w:p>
        </w:tc>
      </w:tr>
    </w:tbl>
    <w:p w:rsidR="00DD0EB7" w:rsidRDefault="00DD0EB7">
      <w:pPr>
        <w:spacing w:after="0"/>
      </w:pPr>
    </w:p>
    <w:p w:rsidR="00DD0EB7" w:rsidRDefault="00000000">
      <w:pPr>
        <w:spacing w:line="240" w:lineRule="auto"/>
        <w:jc w:val="both"/>
      </w:pPr>
      <w:r>
        <w:t>6526 - Ostali nespomenuti prihodi - povećanje prihoda na kontu 6526 odnosi se na uplate roditelja - korisnika usluge Dječjeg vrtića za boravak djece u ustanovi. Povećanje prihoda ostvareno je uslijed upisa većeg broja djece nego što je boravilo u ustanovi u prethodnom razdoblju.</w:t>
      </w:r>
    </w:p>
    <w:p w:rsidR="00DD0EB7" w:rsidRDefault="00DD0EB7"/>
    <w:p w:rsidR="00DD0EB7"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D0EB7">
        <w:tblPrEx>
          <w:tblCellMar>
            <w:top w:w="0" w:type="dxa"/>
            <w:bottom w:w="0" w:type="dxa"/>
          </w:tblCellMar>
        </w:tblPrEx>
        <w:trPr>
          <w:cantSplit/>
        </w:trPr>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Indeks (%)</w:t>
            </w:r>
          </w:p>
        </w:tc>
      </w:tr>
      <w:tr w:rsidR="00DD0EB7">
        <w:tblPrEx>
          <w:tblCellMar>
            <w:top w:w="0" w:type="dxa"/>
            <w:bottom w:w="0" w:type="dxa"/>
          </w:tblCellMar>
        </w:tblPrEx>
        <w:trPr>
          <w:cantSplit/>
          <w:trHeight w:val="560"/>
        </w:trPr>
        <w:tc>
          <w:tcPr>
            <w:tcW w:w="700" w:type="dxa"/>
            <w:tcMar>
              <w:top w:w="0" w:type="dxa"/>
              <w:bottom w:w="0" w:type="dxa"/>
            </w:tcMar>
            <w:vAlign w:val="center"/>
          </w:tcPr>
          <w:p w:rsidR="00DD0EB7" w:rsidRDefault="00000000">
            <w:pPr>
              <w:keepNext/>
              <w:keepLines/>
              <w:spacing w:after="0" w:line="240" w:lineRule="auto"/>
            </w:pPr>
            <w:r>
              <w:rPr>
                <w:sz w:val="18"/>
              </w:rPr>
              <w:t>3111</w:t>
            </w:r>
          </w:p>
        </w:tc>
        <w:tc>
          <w:tcPr>
            <w:tcW w:w="3180" w:type="dxa"/>
            <w:tcMar>
              <w:top w:w="0" w:type="dxa"/>
              <w:bottom w:w="0" w:type="dxa"/>
            </w:tcMar>
            <w:vAlign w:val="center"/>
          </w:tcPr>
          <w:p w:rsidR="00DD0EB7" w:rsidRDefault="00000000">
            <w:pPr>
              <w:keepNext/>
              <w:keepLines/>
              <w:spacing w:after="0" w:line="240" w:lineRule="auto"/>
            </w:pPr>
            <w:r>
              <w:rPr>
                <w:sz w:val="18"/>
              </w:rPr>
              <w:t>Plaće za redovan rad</w:t>
            </w:r>
          </w:p>
        </w:tc>
        <w:tc>
          <w:tcPr>
            <w:tcW w:w="700" w:type="dxa"/>
            <w:tcMar>
              <w:top w:w="0" w:type="dxa"/>
              <w:bottom w:w="0" w:type="dxa"/>
            </w:tcMar>
            <w:vAlign w:val="center"/>
          </w:tcPr>
          <w:p w:rsidR="00DD0EB7" w:rsidRDefault="00000000">
            <w:pPr>
              <w:keepNext/>
              <w:keepLines/>
              <w:spacing w:after="0" w:line="240" w:lineRule="auto"/>
            </w:pPr>
            <w:r>
              <w:rPr>
                <w:sz w:val="18"/>
              </w:rPr>
              <w:t>3111</w:t>
            </w:r>
          </w:p>
        </w:tc>
        <w:tc>
          <w:tcPr>
            <w:tcW w:w="1860" w:type="dxa"/>
            <w:tcMar>
              <w:top w:w="0" w:type="dxa"/>
              <w:bottom w:w="0" w:type="dxa"/>
            </w:tcMar>
            <w:vAlign w:val="center"/>
          </w:tcPr>
          <w:p w:rsidR="00DD0EB7" w:rsidRDefault="00000000">
            <w:pPr>
              <w:keepNext/>
              <w:keepLines/>
              <w:spacing w:after="0" w:line="240" w:lineRule="auto"/>
              <w:jc w:val="right"/>
            </w:pPr>
            <w:r>
              <w:rPr>
                <w:sz w:val="18"/>
              </w:rPr>
              <w:t>279.570,33</w:t>
            </w:r>
          </w:p>
        </w:tc>
        <w:tc>
          <w:tcPr>
            <w:tcW w:w="1860" w:type="dxa"/>
            <w:tcMar>
              <w:top w:w="0" w:type="dxa"/>
              <w:bottom w:w="0" w:type="dxa"/>
            </w:tcMar>
            <w:vAlign w:val="center"/>
          </w:tcPr>
          <w:p w:rsidR="00DD0EB7" w:rsidRDefault="00000000">
            <w:pPr>
              <w:keepNext/>
              <w:keepLines/>
              <w:spacing w:after="0" w:line="240" w:lineRule="auto"/>
              <w:jc w:val="right"/>
            </w:pPr>
            <w:r>
              <w:rPr>
                <w:sz w:val="18"/>
              </w:rPr>
              <w:t>430.768,21</w:t>
            </w:r>
          </w:p>
        </w:tc>
        <w:tc>
          <w:tcPr>
            <w:tcW w:w="700" w:type="dxa"/>
            <w:tcMar>
              <w:top w:w="0" w:type="dxa"/>
              <w:bottom w:w="0" w:type="dxa"/>
            </w:tcMar>
            <w:vAlign w:val="center"/>
          </w:tcPr>
          <w:p w:rsidR="00DD0EB7" w:rsidRDefault="00000000">
            <w:pPr>
              <w:keepNext/>
              <w:keepLines/>
              <w:spacing w:after="0" w:line="240" w:lineRule="auto"/>
              <w:jc w:val="right"/>
            </w:pPr>
            <w:r>
              <w:rPr>
                <w:sz w:val="18"/>
              </w:rPr>
              <w:t>154,1</w:t>
            </w:r>
          </w:p>
        </w:tc>
      </w:tr>
    </w:tbl>
    <w:p w:rsidR="00DD0EB7" w:rsidRDefault="00DD0EB7">
      <w:pPr>
        <w:spacing w:after="0"/>
      </w:pPr>
    </w:p>
    <w:p w:rsidR="00DD0EB7" w:rsidRDefault="00000000">
      <w:pPr>
        <w:spacing w:line="240" w:lineRule="auto"/>
        <w:jc w:val="both"/>
      </w:pPr>
      <w:r>
        <w:t>3111 - Plaće za redovan rad - povećanje rashoda za plaće zaposlenih u tekućem razdoblju u odnosu na prethodno razdoblje odnosi se na povećanje koeficijenata zaposlenih temeljem Kolektivnog ugovora i Dodatka I. kolektivnog ugovora. U tekućem razdoblju dodatno je povećana osnovica za obračun osnovne plaće, veći je broj zaposlenih te se dio rashoda odnosi na povratak zaposlenica s rodiljnog i roditeljskog dopusta koje su koristile godišnji odmor a istovremeno su organizirane zamjene uslijed njihovog odsustva a zbog organizacijskih potreba.</w:t>
      </w:r>
    </w:p>
    <w:p w:rsidR="00DD0EB7" w:rsidRDefault="00DD0EB7"/>
    <w:p w:rsidR="00DD0EB7"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D0EB7">
        <w:tblPrEx>
          <w:tblCellMar>
            <w:top w:w="0" w:type="dxa"/>
            <w:bottom w:w="0" w:type="dxa"/>
          </w:tblCellMar>
        </w:tblPrEx>
        <w:trPr>
          <w:cantSplit/>
        </w:trPr>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Indeks (%)</w:t>
            </w:r>
          </w:p>
        </w:tc>
      </w:tr>
      <w:tr w:rsidR="00DD0EB7">
        <w:tblPrEx>
          <w:tblCellMar>
            <w:top w:w="0" w:type="dxa"/>
            <w:bottom w:w="0" w:type="dxa"/>
          </w:tblCellMar>
        </w:tblPrEx>
        <w:trPr>
          <w:cantSplit/>
          <w:trHeight w:val="560"/>
        </w:trPr>
        <w:tc>
          <w:tcPr>
            <w:tcW w:w="700" w:type="dxa"/>
            <w:tcMar>
              <w:top w:w="0" w:type="dxa"/>
              <w:bottom w:w="0" w:type="dxa"/>
            </w:tcMar>
            <w:vAlign w:val="center"/>
          </w:tcPr>
          <w:p w:rsidR="00DD0EB7" w:rsidRDefault="00000000">
            <w:pPr>
              <w:keepNext/>
              <w:keepLines/>
              <w:spacing w:after="0" w:line="240" w:lineRule="auto"/>
            </w:pPr>
            <w:r>
              <w:rPr>
                <w:sz w:val="18"/>
              </w:rPr>
              <w:t>312</w:t>
            </w:r>
          </w:p>
        </w:tc>
        <w:tc>
          <w:tcPr>
            <w:tcW w:w="3180" w:type="dxa"/>
            <w:tcMar>
              <w:top w:w="0" w:type="dxa"/>
              <w:bottom w:w="0" w:type="dxa"/>
            </w:tcMar>
            <w:vAlign w:val="center"/>
          </w:tcPr>
          <w:p w:rsidR="00DD0EB7" w:rsidRDefault="00000000">
            <w:pPr>
              <w:keepNext/>
              <w:keepLines/>
              <w:spacing w:after="0" w:line="240" w:lineRule="auto"/>
            </w:pPr>
            <w:r>
              <w:rPr>
                <w:sz w:val="18"/>
              </w:rPr>
              <w:t>Ostali rashodi za zaposlene</w:t>
            </w:r>
          </w:p>
        </w:tc>
        <w:tc>
          <w:tcPr>
            <w:tcW w:w="700" w:type="dxa"/>
            <w:tcMar>
              <w:top w:w="0" w:type="dxa"/>
              <w:bottom w:w="0" w:type="dxa"/>
            </w:tcMar>
            <w:vAlign w:val="center"/>
          </w:tcPr>
          <w:p w:rsidR="00DD0EB7" w:rsidRDefault="00000000">
            <w:pPr>
              <w:keepNext/>
              <w:keepLines/>
              <w:spacing w:after="0" w:line="240" w:lineRule="auto"/>
            </w:pPr>
            <w:r>
              <w:rPr>
                <w:sz w:val="18"/>
              </w:rPr>
              <w:t>312</w:t>
            </w:r>
          </w:p>
        </w:tc>
        <w:tc>
          <w:tcPr>
            <w:tcW w:w="1860" w:type="dxa"/>
            <w:tcMar>
              <w:top w:w="0" w:type="dxa"/>
              <w:bottom w:w="0" w:type="dxa"/>
            </w:tcMar>
            <w:vAlign w:val="center"/>
          </w:tcPr>
          <w:p w:rsidR="00DD0EB7" w:rsidRDefault="00000000">
            <w:pPr>
              <w:keepNext/>
              <w:keepLines/>
              <w:spacing w:after="0" w:line="240" w:lineRule="auto"/>
              <w:jc w:val="right"/>
            </w:pPr>
            <w:r>
              <w:rPr>
                <w:sz w:val="18"/>
              </w:rPr>
              <w:t>29.214,56</w:t>
            </w:r>
          </w:p>
        </w:tc>
        <w:tc>
          <w:tcPr>
            <w:tcW w:w="1860" w:type="dxa"/>
            <w:tcMar>
              <w:top w:w="0" w:type="dxa"/>
              <w:bottom w:w="0" w:type="dxa"/>
            </w:tcMar>
            <w:vAlign w:val="center"/>
          </w:tcPr>
          <w:p w:rsidR="00DD0EB7" w:rsidRDefault="00000000">
            <w:pPr>
              <w:keepNext/>
              <w:keepLines/>
              <w:spacing w:after="0" w:line="240" w:lineRule="auto"/>
              <w:jc w:val="right"/>
            </w:pPr>
            <w:r>
              <w:rPr>
                <w:sz w:val="18"/>
              </w:rPr>
              <w:t>47.436,59</w:t>
            </w:r>
          </w:p>
        </w:tc>
        <w:tc>
          <w:tcPr>
            <w:tcW w:w="700" w:type="dxa"/>
            <w:tcMar>
              <w:top w:w="0" w:type="dxa"/>
              <w:bottom w:w="0" w:type="dxa"/>
            </w:tcMar>
            <w:vAlign w:val="center"/>
          </w:tcPr>
          <w:p w:rsidR="00DD0EB7" w:rsidRDefault="00000000">
            <w:pPr>
              <w:keepNext/>
              <w:keepLines/>
              <w:spacing w:after="0" w:line="240" w:lineRule="auto"/>
              <w:jc w:val="right"/>
            </w:pPr>
            <w:r>
              <w:rPr>
                <w:sz w:val="18"/>
              </w:rPr>
              <w:t>162,4</w:t>
            </w:r>
          </w:p>
        </w:tc>
      </w:tr>
    </w:tbl>
    <w:p w:rsidR="00DD0EB7" w:rsidRDefault="00DD0EB7">
      <w:pPr>
        <w:spacing w:after="0"/>
      </w:pPr>
    </w:p>
    <w:p w:rsidR="00DD0EB7" w:rsidRDefault="00000000">
      <w:pPr>
        <w:spacing w:line="240" w:lineRule="auto"/>
        <w:jc w:val="both"/>
      </w:pPr>
      <w:r>
        <w:t>312 - Ostali rashodi za zaposlene - povećanje ostalih rashoda za zaposlene u tekućem izvještajnom razdoblju odnosi se najvećim dijelom na isplatu naknade za topli obrok radnicima, na koji ostvaruju pravo na temelju Kolektivnog ugovora i Dodatka (1) kolektivnom ugovoru. Također, u tekućem izvještajnom razdoblju isplaćeni su uskrsnica, regres za godišnji odmor, otpremnina i jubilarna nagrada. Na povećanje rashoda na računu 312 utjecalo je i povećanje broja radnika kojima se navedeno isplatilo.</w:t>
      </w:r>
    </w:p>
    <w:p w:rsidR="00DD0EB7" w:rsidRDefault="00DD0EB7"/>
    <w:p w:rsidR="00DD0EB7"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D0EB7">
        <w:tblPrEx>
          <w:tblCellMar>
            <w:top w:w="0" w:type="dxa"/>
            <w:bottom w:w="0" w:type="dxa"/>
          </w:tblCellMar>
        </w:tblPrEx>
        <w:trPr>
          <w:cantSplit/>
        </w:trPr>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Indeks (%)</w:t>
            </w:r>
          </w:p>
        </w:tc>
      </w:tr>
      <w:tr w:rsidR="00DD0EB7">
        <w:tblPrEx>
          <w:tblCellMar>
            <w:top w:w="0" w:type="dxa"/>
            <w:bottom w:w="0" w:type="dxa"/>
          </w:tblCellMar>
        </w:tblPrEx>
        <w:trPr>
          <w:cantSplit/>
          <w:trHeight w:val="560"/>
        </w:trPr>
        <w:tc>
          <w:tcPr>
            <w:tcW w:w="700" w:type="dxa"/>
            <w:tcMar>
              <w:top w:w="0" w:type="dxa"/>
              <w:bottom w:w="0" w:type="dxa"/>
            </w:tcMar>
            <w:vAlign w:val="center"/>
          </w:tcPr>
          <w:p w:rsidR="00DD0EB7" w:rsidRDefault="00000000">
            <w:pPr>
              <w:keepNext/>
              <w:keepLines/>
              <w:spacing w:after="0" w:line="240" w:lineRule="auto"/>
            </w:pPr>
            <w:r>
              <w:rPr>
                <w:sz w:val="18"/>
              </w:rPr>
              <w:t>3213</w:t>
            </w:r>
          </w:p>
        </w:tc>
        <w:tc>
          <w:tcPr>
            <w:tcW w:w="3180" w:type="dxa"/>
            <w:tcMar>
              <w:top w:w="0" w:type="dxa"/>
              <w:bottom w:w="0" w:type="dxa"/>
            </w:tcMar>
            <w:vAlign w:val="center"/>
          </w:tcPr>
          <w:p w:rsidR="00DD0EB7" w:rsidRDefault="00000000">
            <w:pPr>
              <w:keepNext/>
              <w:keepLines/>
              <w:spacing w:after="0" w:line="240" w:lineRule="auto"/>
            </w:pPr>
            <w:r>
              <w:rPr>
                <w:sz w:val="18"/>
              </w:rPr>
              <w:t>Stručno usavršavanje zaposlenika</w:t>
            </w:r>
          </w:p>
        </w:tc>
        <w:tc>
          <w:tcPr>
            <w:tcW w:w="700" w:type="dxa"/>
            <w:tcMar>
              <w:top w:w="0" w:type="dxa"/>
              <w:bottom w:w="0" w:type="dxa"/>
            </w:tcMar>
            <w:vAlign w:val="center"/>
          </w:tcPr>
          <w:p w:rsidR="00DD0EB7" w:rsidRDefault="00000000">
            <w:pPr>
              <w:keepNext/>
              <w:keepLines/>
              <w:spacing w:after="0" w:line="240" w:lineRule="auto"/>
            </w:pPr>
            <w:r>
              <w:rPr>
                <w:sz w:val="18"/>
              </w:rPr>
              <w:t>3213</w:t>
            </w:r>
          </w:p>
        </w:tc>
        <w:tc>
          <w:tcPr>
            <w:tcW w:w="1860" w:type="dxa"/>
            <w:tcMar>
              <w:top w:w="0" w:type="dxa"/>
              <w:bottom w:w="0" w:type="dxa"/>
            </w:tcMar>
            <w:vAlign w:val="center"/>
          </w:tcPr>
          <w:p w:rsidR="00DD0EB7" w:rsidRDefault="00000000">
            <w:pPr>
              <w:keepNext/>
              <w:keepLines/>
              <w:spacing w:after="0" w:line="240" w:lineRule="auto"/>
              <w:jc w:val="right"/>
            </w:pPr>
            <w:r>
              <w:rPr>
                <w:sz w:val="18"/>
              </w:rPr>
              <w:t>782,38</w:t>
            </w:r>
          </w:p>
        </w:tc>
        <w:tc>
          <w:tcPr>
            <w:tcW w:w="1860" w:type="dxa"/>
            <w:tcMar>
              <w:top w:w="0" w:type="dxa"/>
              <w:bottom w:w="0" w:type="dxa"/>
            </w:tcMar>
            <w:vAlign w:val="center"/>
          </w:tcPr>
          <w:p w:rsidR="00DD0EB7" w:rsidRDefault="00000000">
            <w:pPr>
              <w:keepNext/>
              <w:keepLines/>
              <w:spacing w:after="0" w:line="240" w:lineRule="auto"/>
              <w:jc w:val="right"/>
            </w:pPr>
            <w:r>
              <w:rPr>
                <w:sz w:val="18"/>
              </w:rPr>
              <w:t>1.656,48</w:t>
            </w:r>
          </w:p>
        </w:tc>
        <w:tc>
          <w:tcPr>
            <w:tcW w:w="700" w:type="dxa"/>
            <w:tcMar>
              <w:top w:w="0" w:type="dxa"/>
              <w:bottom w:w="0" w:type="dxa"/>
            </w:tcMar>
            <w:vAlign w:val="center"/>
          </w:tcPr>
          <w:p w:rsidR="00DD0EB7" w:rsidRDefault="00000000">
            <w:pPr>
              <w:keepNext/>
              <w:keepLines/>
              <w:spacing w:after="0" w:line="240" w:lineRule="auto"/>
              <w:jc w:val="right"/>
            </w:pPr>
            <w:r>
              <w:rPr>
                <w:sz w:val="18"/>
              </w:rPr>
              <w:t>211,7</w:t>
            </w:r>
          </w:p>
        </w:tc>
      </w:tr>
    </w:tbl>
    <w:p w:rsidR="00DD0EB7" w:rsidRDefault="00DD0EB7">
      <w:pPr>
        <w:spacing w:after="0"/>
      </w:pPr>
    </w:p>
    <w:p w:rsidR="00DD0EB7" w:rsidRDefault="00000000">
      <w:pPr>
        <w:spacing w:line="240" w:lineRule="auto"/>
        <w:jc w:val="both"/>
      </w:pPr>
      <w:r>
        <w:t>3213 - Stručno usavršavanje zaposlenika obuhvaća rashode za edukacije djelatnika. Škola proračunskog računovodstva za voditeljicu računovodstva, novozaposlena psihologinja upućena je na edukaciju vezanu uz CAP program, logopetkinja je sudjelovala na edukaciji "Matematika u predškolskoj dobi", novozaposleni djelatnici upućeni su na osposobljavanja po osnovi zaštite na radu i zaštite od požara te redovna usavršavanja odgojno obrazovnih djelatnika.</w:t>
      </w:r>
    </w:p>
    <w:p w:rsidR="00DD0EB7" w:rsidRDefault="00DD0EB7"/>
    <w:p w:rsidR="00DD0EB7"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D0EB7">
        <w:tblPrEx>
          <w:tblCellMar>
            <w:top w:w="0" w:type="dxa"/>
            <w:bottom w:w="0" w:type="dxa"/>
          </w:tblCellMar>
        </w:tblPrEx>
        <w:trPr>
          <w:cantSplit/>
        </w:trPr>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Indeks (%)</w:t>
            </w:r>
          </w:p>
        </w:tc>
      </w:tr>
      <w:tr w:rsidR="00DD0EB7">
        <w:tblPrEx>
          <w:tblCellMar>
            <w:top w:w="0" w:type="dxa"/>
            <w:bottom w:w="0" w:type="dxa"/>
          </w:tblCellMar>
        </w:tblPrEx>
        <w:trPr>
          <w:cantSplit/>
          <w:trHeight w:val="560"/>
        </w:trPr>
        <w:tc>
          <w:tcPr>
            <w:tcW w:w="700" w:type="dxa"/>
            <w:tcMar>
              <w:top w:w="0" w:type="dxa"/>
              <w:bottom w:w="0" w:type="dxa"/>
            </w:tcMar>
            <w:vAlign w:val="center"/>
          </w:tcPr>
          <w:p w:rsidR="00DD0EB7" w:rsidRDefault="00000000">
            <w:pPr>
              <w:keepNext/>
              <w:keepLines/>
              <w:spacing w:after="0" w:line="240" w:lineRule="auto"/>
            </w:pPr>
            <w:r>
              <w:rPr>
                <w:sz w:val="18"/>
              </w:rPr>
              <w:t>3224</w:t>
            </w:r>
          </w:p>
        </w:tc>
        <w:tc>
          <w:tcPr>
            <w:tcW w:w="3180" w:type="dxa"/>
            <w:tcMar>
              <w:top w:w="0" w:type="dxa"/>
              <w:bottom w:w="0" w:type="dxa"/>
            </w:tcMar>
            <w:vAlign w:val="center"/>
          </w:tcPr>
          <w:p w:rsidR="00DD0EB7"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rsidR="00DD0EB7" w:rsidRDefault="00000000">
            <w:pPr>
              <w:keepNext/>
              <w:keepLines/>
              <w:spacing w:after="0" w:line="240" w:lineRule="auto"/>
            </w:pPr>
            <w:r>
              <w:rPr>
                <w:sz w:val="18"/>
              </w:rPr>
              <w:t>3224</w:t>
            </w:r>
          </w:p>
        </w:tc>
        <w:tc>
          <w:tcPr>
            <w:tcW w:w="1860" w:type="dxa"/>
            <w:tcMar>
              <w:top w:w="0" w:type="dxa"/>
              <w:bottom w:w="0" w:type="dxa"/>
            </w:tcMar>
            <w:vAlign w:val="center"/>
          </w:tcPr>
          <w:p w:rsidR="00DD0EB7" w:rsidRDefault="00000000">
            <w:pPr>
              <w:keepNext/>
              <w:keepLines/>
              <w:spacing w:after="0" w:line="240" w:lineRule="auto"/>
              <w:jc w:val="right"/>
            </w:pPr>
            <w:r>
              <w:rPr>
                <w:sz w:val="18"/>
              </w:rPr>
              <w:t>311,31</w:t>
            </w:r>
          </w:p>
        </w:tc>
        <w:tc>
          <w:tcPr>
            <w:tcW w:w="1860" w:type="dxa"/>
            <w:tcMar>
              <w:top w:w="0" w:type="dxa"/>
              <w:bottom w:w="0" w:type="dxa"/>
            </w:tcMar>
            <w:vAlign w:val="center"/>
          </w:tcPr>
          <w:p w:rsidR="00DD0EB7" w:rsidRDefault="00000000">
            <w:pPr>
              <w:keepNext/>
              <w:keepLines/>
              <w:spacing w:after="0" w:line="240" w:lineRule="auto"/>
              <w:jc w:val="right"/>
            </w:pPr>
            <w:r>
              <w:rPr>
                <w:sz w:val="18"/>
              </w:rPr>
              <w:t>1.263,31</w:t>
            </w:r>
          </w:p>
        </w:tc>
        <w:tc>
          <w:tcPr>
            <w:tcW w:w="700" w:type="dxa"/>
            <w:tcMar>
              <w:top w:w="0" w:type="dxa"/>
              <w:bottom w:w="0" w:type="dxa"/>
            </w:tcMar>
            <w:vAlign w:val="center"/>
          </w:tcPr>
          <w:p w:rsidR="00DD0EB7" w:rsidRDefault="00000000">
            <w:pPr>
              <w:keepNext/>
              <w:keepLines/>
              <w:spacing w:after="0" w:line="240" w:lineRule="auto"/>
              <w:jc w:val="right"/>
            </w:pPr>
            <w:r>
              <w:rPr>
                <w:sz w:val="18"/>
              </w:rPr>
              <w:t>405,8</w:t>
            </w:r>
          </w:p>
        </w:tc>
      </w:tr>
    </w:tbl>
    <w:p w:rsidR="00DD0EB7" w:rsidRDefault="00DD0EB7">
      <w:pPr>
        <w:spacing w:after="0"/>
      </w:pPr>
    </w:p>
    <w:p w:rsidR="00DD0EB7" w:rsidRDefault="00000000">
      <w:pPr>
        <w:spacing w:line="240" w:lineRule="auto"/>
        <w:jc w:val="both"/>
      </w:pPr>
      <w:r>
        <w:t>3224 - Materijal i dijelovi za tekuće i investicijsko održavanje u tekućem razdoblju bilježi povećanje uslijed zamjene svih slavina u objektu prema nalogu Zavoda za javno zdravstvo a na temelju provedene analize ispravnosti pitke vode.</w:t>
      </w:r>
    </w:p>
    <w:p w:rsidR="00DD0EB7" w:rsidRDefault="00DD0EB7"/>
    <w:p w:rsidR="00DD0EB7"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D0EB7">
        <w:tblPrEx>
          <w:tblCellMar>
            <w:top w:w="0" w:type="dxa"/>
            <w:bottom w:w="0" w:type="dxa"/>
          </w:tblCellMar>
        </w:tblPrEx>
        <w:trPr>
          <w:cantSplit/>
        </w:trPr>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Indeks (%)</w:t>
            </w:r>
          </w:p>
        </w:tc>
      </w:tr>
      <w:tr w:rsidR="00DD0EB7">
        <w:tblPrEx>
          <w:tblCellMar>
            <w:top w:w="0" w:type="dxa"/>
            <w:bottom w:w="0" w:type="dxa"/>
          </w:tblCellMar>
        </w:tblPrEx>
        <w:trPr>
          <w:cantSplit/>
          <w:trHeight w:val="560"/>
        </w:trPr>
        <w:tc>
          <w:tcPr>
            <w:tcW w:w="700" w:type="dxa"/>
            <w:tcMar>
              <w:top w:w="0" w:type="dxa"/>
              <w:bottom w:w="0" w:type="dxa"/>
            </w:tcMar>
            <w:vAlign w:val="center"/>
          </w:tcPr>
          <w:p w:rsidR="00DD0EB7" w:rsidRDefault="00000000">
            <w:pPr>
              <w:keepNext/>
              <w:keepLines/>
              <w:spacing w:after="0" w:line="240" w:lineRule="auto"/>
            </w:pPr>
            <w:r>
              <w:rPr>
                <w:sz w:val="18"/>
              </w:rPr>
              <w:t>3225</w:t>
            </w:r>
          </w:p>
        </w:tc>
        <w:tc>
          <w:tcPr>
            <w:tcW w:w="3180" w:type="dxa"/>
            <w:tcMar>
              <w:top w:w="0" w:type="dxa"/>
              <w:bottom w:w="0" w:type="dxa"/>
            </w:tcMar>
            <w:vAlign w:val="center"/>
          </w:tcPr>
          <w:p w:rsidR="00DD0EB7" w:rsidRDefault="00000000">
            <w:pPr>
              <w:keepNext/>
              <w:keepLines/>
              <w:spacing w:after="0" w:line="240" w:lineRule="auto"/>
            </w:pPr>
            <w:r>
              <w:rPr>
                <w:sz w:val="18"/>
              </w:rPr>
              <w:t>Sitni inventar i autogume</w:t>
            </w:r>
          </w:p>
        </w:tc>
        <w:tc>
          <w:tcPr>
            <w:tcW w:w="700" w:type="dxa"/>
            <w:tcMar>
              <w:top w:w="0" w:type="dxa"/>
              <w:bottom w:w="0" w:type="dxa"/>
            </w:tcMar>
            <w:vAlign w:val="center"/>
          </w:tcPr>
          <w:p w:rsidR="00DD0EB7" w:rsidRDefault="00000000">
            <w:pPr>
              <w:keepNext/>
              <w:keepLines/>
              <w:spacing w:after="0" w:line="240" w:lineRule="auto"/>
            </w:pPr>
            <w:r>
              <w:rPr>
                <w:sz w:val="18"/>
              </w:rPr>
              <w:t>3225</w:t>
            </w:r>
          </w:p>
        </w:tc>
        <w:tc>
          <w:tcPr>
            <w:tcW w:w="1860" w:type="dxa"/>
            <w:tcMar>
              <w:top w:w="0" w:type="dxa"/>
              <w:bottom w:w="0" w:type="dxa"/>
            </w:tcMar>
            <w:vAlign w:val="center"/>
          </w:tcPr>
          <w:p w:rsidR="00DD0EB7" w:rsidRDefault="00000000">
            <w:pPr>
              <w:keepNext/>
              <w:keepLines/>
              <w:spacing w:after="0" w:line="240" w:lineRule="auto"/>
              <w:jc w:val="right"/>
            </w:pPr>
            <w:r>
              <w:rPr>
                <w:sz w:val="18"/>
              </w:rPr>
              <w:t>447,00</w:t>
            </w:r>
          </w:p>
        </w:tc>
        <w:tc>
          <w:tcPr>
            <w:tcW w:w="1860" w:type="dxa"/>
            <w:tcMar>
              <w:top w:w="0" w:type="dxa"/>
              <w:bottom w:w="0" w:type="dxa"/>
            </w:tcMar>
            <w:vAlign w:val="center"/>
          </w:tcPr>
          <w:p w:rsidR="00DD0EB7" w:rsidRDefault="00000000">
            <w:pPr>
              <w:keepNext/>
              <w:keepLines/>
              <w:spacing w:after="0" w:line="240" w:lineRule="auto"/>
              <w:jc w:val="right"/>
            </w:pPr>
            <w:r>
              <w:rPr>
                <w:sz w:val="18"/>
              </w:rPr>
              <w:t>2.380,50</w:t>
            </w:r>
          </w:p>
        </w:tc>
        <w:tc>
          <w:tcPr>
            <w:tcW w:w="700" w:type="dxa"/>
            <w:tcMar>
              <w:top w:w="0" w:type="dxa"/>
              <w:bottom w:w="0" w:type="dxa"/>
            </w:tcMar>
            <w:vAlign w:val="center"/>
          </w:tcPr>
          <w:p w:rsidR="00DD0EB7" w:rsidRDefault="00000000">
            <w:pPr>
              <w:keepNext/>
              <w:keepLines/>
              <w:spacing w:after="0" w:line="240" w:lineRule="auto"/>
              <w:jc w:val="right"/>
            </w:pPr>
            <w:r>
              <w:rPr>
                <w:sz w:val="18"/>
              </w:rPr>
              <w:t>532,6</w:t>
            </w:r>
          </w:p>
        </w:tc>
      </w:tr>
    </w:tbl>
    <w:p w:rsidR="00DD0EB7" w:rsidRDefault="00DD0EB7">
      <w:pPr>
        <w:spacing w:after="0"/>
      </w:pPr>
    </w:p>
    <w:p w:rsidR="00DD0EB7" w:rsidRDefault="00000000">
      <w:pPr>
        <w:spacing w:line="240" w:lineRule="auto"/>
        <w:jc w:val="both"/>
      </w:pPr>
      <w:r>
        <w:t>3225 - Sitni inventar i autogume u tekućem razdoblju obuhvaća rashode za nabavu plahti za dječje krevetiće, posteljno rublje, suncobrane za terase na kojima borave djeca, bokale za posluživanje napitaka i dječjih podbradaka. Dio navedenog odnosi se na opremanje matičnog objekta ali i za opremanje područnog odjela u kojem će se otvoriti još jedna odgojno obrazovna skupina.</w:t>
      </w:r>
    </w:p>
    <w:p w:rsidR="00DD0EB7" w:rsidRDefault="00DD0EB7"/>
    <w:p w:rsidR="00DD0EB7"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D0EB7">
        <w:tblPrEx>
          <w:tblCellMar>
            <w:top w:w="0" w:type="dxa"/>
            <w:bottom w:w="0" w:type="dxa"/>
          </w:tblCellMar>
        </w:tblPrEx>
        <w:trPr>
          <w:cantSplit/>
        </w:trPr>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Indeks (%)</w:t>
            </w:r>
          </w:p>
        </w:tc>
      </w:tr>
      <w:tr w:rsidR="00DD0EB7">
        <w:tblPrEx>
          <w:tblCellMar>
            <w:top w:w="0" w:type="dxa"/>
            <w:bottom w:w="0" w:type="dxa"/>
          </w:tblCellMar>
        </w:tblPrEx>
        <w:trPr>
          <w:cantSplit/>
          <w:trHeight w:val="560"/>
        </w:trPr>
        <w:tc>
          <w:tcPr>
            <w:tcW w:w="700" w:type="dxa"/>
            <w:tcMar>
              <w:top w:w="0" w:type="dxa"/>
              <w:bottom w:w="0" w:type="dxa"/>
            </w:tcMar>
            <w:vAlign w:val="center"/>
          </w:tcPr>
          <w:p w:rsidR="00DD0EB7" w:rsidRDefault="00000000">
            <w:pPr>
              <w:keepNext/>
              <w:keepLines/>
              <w:spacing w:after="0" w:line="240" w:lineRule="auto"/>
            </w:pPr>
            <w:r>
              <w:rPr>
                <w:sz w:val="18"/>
              </w:rPr>
              <w:t>3236</w:t>
            </w:r>
          </w:p>
        </w:tc>
        <w:tc>
          <w:tcPr>
            <w:tcW w:w="3180" w:type="dxa"/>
            <w:tcMar>
              <w:top w:w="0" w:type="dxa"/>
              <w:bottom w:w="0" w:type="dxa"/>
            </w:tcMar>
            <w:vAlign w:val="center"/>
          </w:tcPr>
          <w:p w:rsidR="00DD0EB7" w:rsidRDefault="00000000">
            <w:pPr>
              <w:keepNext/>
              <w:keepLines/>
              <w:spacing w:after="0" w:line="240" w:lineRule="auto"/>
            </w:pPr>
            <w:r>
              <w:rPr>
                <w:sz w:val="18"/>
              </w:rPr>
              <w:t>Zdravstvene i veterinarske usluge</w:t>
            </w:r>
          </w:p>
        </w:tc>
        <w:tc>
          <w:tcPr>
            <w:tcW w:w="700" w:type="dxa"/>
            <w:tcMar>
              <w:top w:w="0" w:type="dxa"/>
              <w:bottom w:w="0" w:type="dxa"/>
            </w:tcMar>
            <w:vAlign w:val="center"/>
          </w:tcPr>
          <w:p w:rsidR="00DD0EB7" w:rsidRDefault="00000000">
            <w:pPr>
              <w:keepNext/>
              <w:keepLines/>
              <w:spacing w:after="0" w:line="240" w:lineRule="auto"/>
            </w:pPr>
            <w:r>
              <w:rPr>
                <w:sz w:val="18"/>
              </w:rPr>
              <w:t>3236</w:t>
            </w:r>
          </w:p>
        </w:tc>
        <w:tc>
          <w:tcPr>
            <w:tcW w:w="1860" w:type="dxa"/>
            <w:tcMar>
              <w:top w:w="0" w:type="dxa"/>
              <w:bottom w:w="0" w:type="dxa"/>
            </w:tcMar>
            <w:vAlign w:val="center"/>
          </w:tcPr>
          <w:p w:rsidR="00DD0EB7" w:rsidRDefault="00000000">
            <w:pPr>
              <w:keepNext/>
              <w:keepLines/>
              <w:spacing w:after="0" w:line="240" w:lineRule="auto"/>
              <w:jc w:val="right"/>
            </w:pPr>
            <w:r>
              <w:rPr>
                <w:sz w:val="18"/>
              </w:rPr>
              <w:t>704,19</w:t>
            </w:r>
          </w:p>
        </w:tc>
        <w:tc>
          <w:tcPr>
            <w:tcW w:w="1860" w:type="dxa"/>
            <w:tcMar>
              <w:top w:w="0" w:type="dxa"/>
              <w:bottom w:w="0" w:type="dxa"/>
            </w:tcMar>
            <w:vAlign w:val="center"/>
          </w:tcPr>
          <w:p w:rsidR="00DD0EB7" w:rsidRDefault="00000000">
            <w:pPr>
              <w:keepNext/>
              <w:keepLines/>
              <w:spacing w:after="0" w:line="240" w:lineRule="auto"/>
              <w:jc w:val="right"/>
            </w:pPr>
            <w:r>
              <w:rPr>
                <w:sz w:val="18"/>
              </w:rPr>
              <w:t>1.061,56</w:t>
            </w:r>
          </w:p>
        </w:tc>
        <w:tc>
          <w:tcPr>
            <w:tcW w:w="700" w:type="dxa"/>
            <w:tcMar>
              <w:top w:w="0" w:type="dxa"/>
              <w:bottom w:w="0" w:type="dxa"/>
            </w:tcMar>
            <w:vAlign w:val="center"/>
          </w:tcPr>
          <w:p w:rsidR="00DD0EB7" w:rsidRDefault="00000000">
            <w:pPr>
              <w:keepNext/>
              <w:keepLines/>
              <w:spacing w:after="0" w:line="240" w:lineRule="auto"/>
              <w:jc w:val="right"/>
            </w:pPr>
            <w:r>
              <w:rPr>
                <w:sz w:val="18"/>
              </w:rPr>
              <w:t>150,7</w:t>
            </w:r>
          </w:p>
        </w:tc>
      </w:tr>
    </w:tbl>
    <w:p w:rsidR="00DD0EB7" w:rsidRDefault="00DD0EB7">
      <w:pPr>
        <w:spacing w:after="0"/>
      </w:pPr>
    </w:p>
    <w:p w:rsidR="00DD0EB7" w:rsidRDefault="00000000">
      <w:pPr>
        <w:spacing w:line="240" w:lineRule="auto"/>
        <w:jc w:val="both"/>
      </w:pPr>
      <w:r>
        <w:t>3236 - Zdravstvene i veterinarske usluge bilježe rast u odnosu na prethodno razdoblje uslijed dodatnih ispitivanja vezanih uz ispravnost vode za piće koje regulira Zavod za javno zdravstvo Krapinsko zagorske županije.</w:t>
      </w:r>
    </w:p>
    <w:p w:rsidR="00DD0EB7" w:rsidRDefault="00DD0EB7"/>
    <w:p w:rsidR="00DD0EB7"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D0EB7">
        <w:tblPrEx>
          <w:tblCellMar>
            <w:top w:w="0" w:type="dxa"/>
            <w:bottom w:w="0" w:type="dxa"/>
          </w:tblCellMar>
        </w:tblPrEx>
        <w:trPr>
          <w:cantSplit/>
        </w:trPr>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Indeks (%)</w:t>
            </w:r>
          </w:p>
        </w:tc>
      </w:tr>
      <w:tr w:rsidR="00DD0EB7">
        <w:tblPrEx>
          <w:tblCellMar>
            <w:top w:w="0" w:type="dxa"/>
            <w:bottom w:w="0" w:type="dxa"/>
          </w:tblCellMar>
        </w:tblPrEx>
        <w:trPr>
          <w:cantSplit/>
          <w:trHeight w:val="560"/>
        </w:trPr>
        <w:tc>
          <w:tcPr>
            <w:tcW w:w="700" w:type="dxa"/>
            <w:tcMar>
              <w:top w:w="0" w:type="dxa"/>
              <w:bottom w:w="0" w:type="dxa"/>
            </w:tcMar>
            <w:vAlign w:val="center"/>
          </w:tcPr>
          <w:p w:rsidR="00DD0EB7" w:rsidRDefault="00000000">
            <w:pPr>
              <w:keepNext/>
              <w:keepLines/>
              <w:spacing w:after="0" w:line="240" w:lineRule="auto"/>
            </w:pPr>
            <w:r>
              <w:rPr>
                <w:sz w:val="18"/>
              </w:rPr>
              <w:t>3237</w:t>
            </w:r>
          </w:p>
        </w:tc>
        <w:tc>
          <w:tcPr>
            <w:tcW w:w="3180" w:type="dxa"/>
            <w:tcMar>
              <w:top w:w="0" w:type="dxa"/>
              <w:bottom w:w="0" w:type="dxa"/>
            </w:tcMar>
            <w:vAlign w:val="center"/>
          </w:tcPr>
          <w:p w:rsidR="00DD0EB7" w:rsidRDefault="00000000">
            <w:pPr>
              <w:keepNext/>
              <w:keepLines/>
              <w:spacing w:after="0" w:line="240" w:lineRule="auto"/>
            </w:pPr>
            <w:r>
              <w:rPr>
                <w:sz w:val="18"/>
              </w:rPr>
              <w:t>Intelektualne i osobne usluge</w:t>
            </w:r>
          </w:p>
        </w:tc>
        <w:tc>
          <w:tcPr>
            <w:tcW w:w="700" w:type="dxa"/>
            <w:tcMar>
              <w:top w:w="0" w:type="dxa"/>
              <w:bottom w:w="0" w:type="dxa"/>
            </w:tcMar>
            <w:vAlign w:val="center"/>
          </w:tcPr>
          <w:p w:rsidR="00DD0EB7" w:rsidRDefault="00000000">
            <w:pPr>
              <w:keepNext/>
              <w:keepLines/>
              <w:spacing w:after="0" w:line="240" w:lineRule="auto"/>
            </w:pPr>
            <w:r>
              <w:rPr>
                <w:sz w:val="18"/>
              </w:rPr>
              <w:t>3237</w:t>
            </w:r>
          </w:p>
        </w:tc>
        <w:tc>
          <w:tcPr>
            <w:tcW w:w="1860" w:type="dxa"/>
            <w:tcMar>
              <w:top w:w="0" w:type="dxa"/>
              <w:bottom w:w="0" w:type="dxa"/>
            </w:tcMar>
            <w:vAlign w:val="center"/>
          </w:tcPr>
          <w:p w:rsidR="00DD0EB7" w:rsidRDefault="00000000">
            <w:pPr>
              <w:keepNext/>
              <w:keepLines/>
              <w:spacing w:after="0" w:line="240" w:lineRule="auto"/>
              <w:jc w:val="right"/>
            </w:pPr>
            <w:r>
              <w:rPr>
                <w:sz w:val="18"/>
              </w:rPr>
              <w:t>81,03</w:t>
            </w:r>
          </w:p>
        </w:tc>
        <w:tc>
          <w:tcPr>
            <w:tcW w:w="1860" w:type="dxa"/>
            <w:tcMar>
              <w:top w:w="0" w:type="dxa"/>
              <w:bottom w:w="0" w:type="dxa"/>
            </w:tcMar>
            <w:vAlign w:val="center"/>
          </w:tcPr>
          <w:p w:rsidR="00DD0EB7" w:rsidRDefault="00000000">
            <w:pPr>
              <w:keepNext/>
              <w:keepLines/>
              <w:spacing w:after="0" w:line="240" w:lineRule="auto"/>
              <w:jc w:val="right"/>
            </w:pPr>
            <w:r>
              <w:rPr>
                <w:sz w:val="18"/>
              </w:rPr>
              <w:t>265,27</w:t>
            </w:r>
          </w:p>
        </w:tc>
        <w:tc>
          <w:tcPr>
            <w:tcW w:w="700" w:type="dxa"/>
            <w:tcMar>
              <w:top w:w="0" w:type="dxa"/>
              <w:bottom w:w="0" w:type="dxa"/>
            </w:tcMar>
            <w:vAlign w:val="center"/>
          </w:tcPr>
          <w:p w:rsidR="00DD0EB7" w:rsidRDefault="00000000">
            <w:pPr>
              <w:keepNext/>
              <w:keepLines/>
              <w:spacing w:after="0" w:line="240" w:lineRule="auto"/>
              <w:jc w:val="right"/>
            </w:pPr>
            <w:r>
              <w:rPr>
                <w:sz w:val="18"/>
              </w:rPr>
              <w:t>327,4</w:t>
            </w:r>
          </w:p>
        </w:tc>
      </w:tr>
    </w:tbl>
    <w:p w:rsidR="00DD0EB7" w:rsidRDefault="00DD0EB7">
      <w:pPr>
        <w:spacing w:after="0"/>
      </w:pPr>
    </w:p>
    <w:p w:rsidR="00DD0EB7" w:rsidRDefault="00000000">
      <w:pPr>
        <w:spacing w:line="240" w:lineRule="auto"/>
        <w:jc w:val="both"/>
      </w:pPr>
      <w:r>
        <w:t>3237 - Intelektualne i osobne usluge odnose se na rashode vezane uz provjere vjerodostojnosti diploma većeg dijela zaposlenika.</w:t>
      </w:r>
    </w:p>
    <w:p w:rsidR="00DD0EB7" w:rsidRDefault="00DD0EB7"/>
    <w:p w:rsidR="00DD0EB7"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D0EB7">
        <w:tblPrEx>
          <w:tblCellMar>
            <w:top w:w="0" w:type="dxa"/>
            <w:bottom w:w="0" w:type="dxa"/>
          </w:tblCellMar>
        </w:tblPrEx>
        <w:trPr>
          <w:cantSplit/>
        </w:trPr>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Indeks (%)</w:t>
            </w:r>
          </w:p>
        </w:tc>
      </w:tr>
      <w:tr w:rsidR="00DD0EB7">
        <w:tblPrEx>
          <w:tblCellMar>
            <w:top w:w="0" w:type="dxa"/>
            <w:bottom w:w="0" w:type="dxa"/>
          </w:tblCellMar>
        </w:tblPrEx>
        <w:trPr>
          <w:cantSplit/>
          <w:trHeight w:val="560"/>
        </w:trPr>
        <w:tc>
          <w:tcPr>
            <w:tcW w:w="700" w:type="dxa"/>
            <w:tcMar>
              <w:top w:w="0" w:type="dxa"/>
              <w:bottom w:w="0" w:type="dxa"/>
            </w:tcMar>
            <w:vAlign w:val="center"/>
          </w:tcPr>
          <w:p w:rsidR="00DD0EB7" w:rsidRDefault="00000000">
            <w:pPr>
              <w:keepNext/>
              <w:keepLines/>
              <w:spacing w:after="0" w:line="240" w:lineRule="auto"/>
            </w:pPr>
            <w:r>
              <w:rPr>
                <w:sz w:val="18"/>
              </w:rPr>
              <w:t>96</w:t>
            </w:r>
          </w:p>
        </w:tc>
        <w:tc>
          <w:tcPr>
            <w:tcW w:w="3180" w:type="dxa"/>
            <w:tcMar>
              <w:top w:w="0" w:type="dxa"/>
              <w:bottom w:w="0" w:type="dxa"/>
            </w:tcMar>
            <w:vAlign w:val="center"/>
          </w:tcPr>
          <w:p w:rsidR="00DD0EB7"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rsidR="00DD0EB7" w:rsidRDefault="00000000">
            <w:pPr>
              <w:keepNext/>
              <w:keepLines/>
              <w:spacing w:after="0" w:line="240" w:lineRule="auto"/>
            </w:pPr>
            <w:r>
              <w:rPr>
                <w:sz w:val="18"/>
              </w:rPr>
              <w:t>96</w:t>
            </w:r>
          </w:p>
        </w:tc>
        <w:tc>
          <w:tcPr>
            <w:tcW w:w="1860" w:type="dxa"/>
            <w:tcMar>
              <w:top w:w="0" w:type="dxa"/>
              <w:bottom w:w="0" w:type="dxa"/>
            </w:tcMar>
            <w:vAlign w:val="center"/>
          </w:tcPr>
          <w:p w:rsidR="00DD0EB7" w:rsidRDefault="00000000">
            <w:pPr>
              <w:keepNext/>
              <w:keepLines/>
              <w:spacing w:after="0" w:line="240" w:lineRule="auto"/>
              <w:jc w:val="right"/>
            </w:pPr>
            <w:r>
              <w:rPr>
                <w:sz w:val="18"/>
              </w:rPr>
              <w:t>2.897,19</w:t>
            </w:r>
          </w:p>
        </w:tc>
        <w:tc>
          <w:tcPr>
            <w:tcW w:w="1860" w:type="dxa"/>
            <w:tcMar>
              <w:top w:w="0" w:type="dxa"/>
              <w:bottom w:w="0" w:type="dxa"/>
            </w:tcMar>
            <w:vAlign w:val="center"/>
          </w:tcPr>
          <w:p w:rsidR="00DD0EB7" w:rsidRDefault="00000000">
            <w:pPr>
              <w:keepNext/>
              <w:keepLines/>
              <w:spacing w:after="0" w:line="240" w:lineRule="auto"/>
              <w:jc w:val="right"/>
            </w:pPr>
            <w:r>
              <w:rPr>
                <w:sz w:val="18"/>
              </w:rPr>
              <w:t>4.197,55</w:t>
            </w:r>
          </w:p>
        </w:tc>
        <w:tc>
          <w:tcPr>
            <w:tcW w:w="700" w:type="dxa"/>
            <w:tcMar>
              <w:top w:w="0" w:type="dxa"/>
              <w:bottom w:w="0" w:type="dxa"/>
            </w:tcMar>
            <w:vAlign w:val="center"/>
          </w:tcPr>
          <w:p w:rsidR="00DD0EB7" w:rsidRDefault="00000000">
            <w:pPr>
              <w:keepNext/>
              <w:keepLines/>
              <w:spacing w:after="0" w:line="240" w:lineRule="auto"/>
              <w:jc w:val="right"/>
            </w:pPr>
            <w:r>
              <w:rPr>
                <w:sz w:val="18"/>
              </w:rPr>
              <w:t>144,9</w:t>
            </w:r>
          </w:p>
        </w:tc>
      </w:tr>
    </w:tbl>
    <w:p w:rsidR="00DD0EB7" w:rsidRDefault="00DD0EB7">
      <w:pPr>
        <w:spacing w:after="0"/>
      </w:pPr>
    </w:p>
    <w:p w:rsidR="00DD0EB7" w:rsidRDefault="00000000">
      <w:pPr>
        <w:spacing w:line="240" w:lineRule="auto"/>
        <w:jc w:val="both"/>
      </w:pPr>
      <w:r>
        <w:t>96 - Obračunati prihodi poslovanja - nenaplaćeni odnose se na račune za boravak djece u Dječjem vrtiću za mjesec lipanj a koje korisnici usluga - roditelji nisu podmirili do datuma dospijeća.</w:t>
      </w:r>
    </w:p>
    <w:p w:rsidR="00DD0EB7" w:rsidRDefault="00DD0EB7"/>
    <w:p w:rsidR="00DD0EB7"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D0EB7">
        <w:tblPrEx>
          <w:tblCellMar>
            <w:top w:w="0" w:type="dxa"/>
            <w:bottom w:w="0" w:type="dxa"/>
          </w:tblCellMar>
        </w:tblPrEx>
        <w:trPr>
          <w:cantSplit/>
        </w:trPr>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Indeks (%)</w:t>
            </w:r>
          </w:p>
        </w:tc>
      </w:tr>
      <w:tr w:rsidR="00DD0EB7">
        <w:tblPrEx>
          <w:tblCellMar>
            <w:top w:w="0" w:type="dxa"/>
            <w:bottom w:w="0" w:type="dxa"/>
          </w:tblCellMar>
        </w:tblPrEx>
        <w:trPr>
          <w:cantSplit/>
          <w:trHeight w:val="560"/>
        </w:trPr>
        <w:tc>
          <w:tcPr>
            <w:tcW w:w="700" w:type="dxa"/>
            <w:tcMar>
              <w:top w:w="0" w:type="dxa"/>
              <w:bottom w:w="0" w:type="dxa"/>
            </w:tcMar>
            <w:vAlign w:val="center"/>
          </w:tcPr>
          <w:p w:rsidR="00DD0EB7" w:rsidRDefault="00000000">
            <w:pPr>
              <w:keepNext/>
              <w:keepLines/>
              <w:spacing w:after="0" w:line="240" w:lineRule="auto"/>
            </w:pPr>
            <w:r>
              <w:rPr>
                <w:sz w:val="18"/>
              </w:rPr>
              <w:t>4227</w:t>
            </w:r>
          </w:p>
        </w:tc>
        <w:tc>
          <w:tcPr>
            <w:tcW w:w="3180" w:type="dxa"/>
            <w:tcMar>
              <w:top w:w="0" w:type="dxa"/>
              <w:bottom w:w="0" w:type="dxa"/>
            </w:tcMar>
            <w:vAlign w:val="center"/>
          </w:tcPr>
          <w:p w:rsidR="00DD0EB7"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rsidR="00DD0EB7" w:rsidRDefault="00000000">
            <w:pPr>
              <w:keepNext/>
              <w:keepLines/>
              <w:spacing w:after="0" w:line="240" w:lineRule="auto"/>
            </w:pPr>
            <w:r>
              <w:rPr>
                <w:sz w:val="18"/>
              </w:rPr>
              <w:t>4227</w:t>
            </w:r>
          </w:p>
        </w:tc>
        <w:tc>
          <w:tcPr>
            <w:tcW w:w="1860" w:type="dxa"/>
            <w:tcMar>
              <w:top w:w="0" w:type="dxa"/>
              <w:bottom w:w="0" w:type="dxa"/>
            </w:tcMar>
            <w:vAlign w:val="center"/>
          </w:tcPr>
          <w:p w:rsidR="00DD0EB7" w:rsidRDefault="00000000">
            <w:pPr>
              <w:keepNext/>
              <w:keepLines/>
              <w:spacing w:after="0" w:line="240" w:lineRule="auto"/>
              <w:jc w:val="right"/>
            </w:pPr>
            <w:r>
              <w:rPr>
                <w:sz w:val="18"/>
              </w:rPr>
              <w:t>3.911,25</w:t>
            </w:r>
          </w:p>
        </w:tc>
        <w:tc>
          <w:tcPr>
            <w:tcW w:w="1860" w:type="dxa"/>
            <w:tcMar>
              <w:top w:w="0" w:type="dxa"/>
              <w:bottom w:w="0" w:type="dxa"/>
            </w:tcMar>
            <w:vAlign w:val="center"/>
          </w:tcPr>
          <w:p w:rsidR="00DD0EB7" w:rsidRDefault="00000000">
            <w:pPr>
              <w:keepNext/>
              <w:keepLines/>
              <w:spacing w:after="0" w:line="240" w:lineRule="auto"/>
              <w:jc w:val="right"/>
            </w:pPr>
            <w:r>
              <w:rPr>
                <w:sz w:val="18"/>
              </w:rPr>
              <w:t>16.605,18</w:t>
            </w:r>
          </w:p>
        </w:tc>
        <w:tc>
          <w:tcPr>
            <w:tcW w:w="700" w:type="dxa"/>
            <w:tcMar>
              <w:top w:w="0" w:type="dxa"/>
              <w:bottom w:w="0" w:type="dxa"/>
            </w:tcMar>
            <w:vAlign w:val="center"/>
          </w:tcPr>
          <w:p w:rsidR="00DD0EB7" w:rsidRDefault="00000000">
            <w:pPr>
              <w:keepNext/>
              <w:keepLines/>
              <w:spacing w:after="0" w:line="240" w:lineRule="auto"/>
              <w:jc w:val="right"/>
            </w:pPr>
            <w:r>
              <w:rPr>
                <w:sz w:val="18"/>
              </w:rPr>
              <w:t>424,5</w:t>
            </w:r>
          </w:p>
        </w:tc>
      </w:tr>
    </w:tbl>
    <w:p w:rsidR="00DD0EB7" w:rsidRDefault="00DD0EB7">
      <w:pPr>
        <w:spacing w:after="0"/>
      </w:pPr>
    </w:p>
    <w:p w:rsidR="00DD0EB7" w:rsidRDefault="00000000">
      <w:pPr>
        <w:spacing w:line="240" w:lineRule="auto"/>
        <w:jc w:val="both"/>
      </w:pPr>
      <w:r>
        <w:t>4227 - Uređaji, strojevi i oprema za ostale namjene - u tekućem razdoblju dodatno je nabavljena oprema: sjeckalica/cutter za kuhinju, 60 dječjih ležaljki za matični objekt i dio za područni objekt u kojem se otvara dodatna odgojno obrazovna skupina, oprema po projektu "Zagorski cipelcug" koja obuhvaća nabavu švedskih ljestva, mreže za penjanje, zidne stijena, valjkastog tobogana, trapeza i 2 pametna sata. Ormari s policama, stolovi i stolice, prematalica, ormari za pohranu nabavljeni su za opremanje soba odgojno obrazovnih skupina u matičnom objektu te za područni odjel i novoformiranu odgojno obrazovnu skupinu.</w:t>
      </w:r>
    </w:p>
    <w:p w:rsidR="00DD0EB7" w:rsidRDefault="00DD0EB7"/>
    <w:p w:rsidR="00DD0EB7"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D0EB7">
        <w:tblPrEx>
          <w:tblCellMar>
            <w:top w:w="0" w:type="dxa"/>
            <w:bottom w:w="0" w:type="dxa"/>
          </w:tblCellMar>
        </w:tblPrEx>
        <w:trPr>
          <w:cantSplit/>
        </w:trPr>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Indeks (%)</w:t>
            </w:r>
          </w:p>
        </w:tc>
      </w:tr>
      <w:tr w:rsidR="00DD0EB7">
        <w:tblPrEx>
          <w:tblCellMar>
            <w:top w:w="0" w:type="dxa"/>
            <w:bottom w:w="0" w:type="dxa"/>
          </w:tblCellMar>
        </w:tblPrEx>
        <w:trPr>
          <w:cantSplit/>
          <w:trHeight w:val="560"/>
        </w:trPr>
        <w:tc>
          <w:tcPr>
            <w:tcW w:w="700" w:type="dxa"/>
            <w:tcMar>
              <w:top w:w="0" w:type="dxa"/>
              <w:bottom w:w="0" w:type="dxa"/>
            </w:tcMar>
            <w:vAlign w:val="center"/>
          </w:tcPr>
          <w:p w:rsidR="00DD0EB7" w:rsidRDefault="00DD0EB7">
            <w:pPr>
              <w:keepNext/>
              <w:keepLines/>
              <w:spacing w:after="0" w:line="240" w:lineRule="auto"/>
            </w:pPr>
          </w:p>
        </w:tc>
        <w:tc>
          <w:tcPr>
            <w:tcW w:w="3180" w:type="dxa"/>
            <w:tcMar>
              <w:top w:w="0" w:type="dxa"/>
              <w:bottom w:w="0" w:type="dxa"/>
            </w:tcMar>
            <w:vAlign w:val="center"/>
          </w:tcPr>
          <w:p w:rsidR="00DD0EB7"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DD0EB7" w:rsidRDefault="00000000">
            <w:pPr>
              <w:keepNext/>
              <w:keepLines/>
              <w:spacing w:after="0" w:line="240" w:lineRule="auto"/>
            </w:pPr>
            <w:r>
              <w:rPr>
                <w:sz w:val="18"/>
              </w:rPr>
              <w:t>Y006</w:t>
            </w:r>
          </w:p>
        </w:tc>
        <w:tc>
          <w:tcPr>
            <w:tcW w:w="1860" w:type="dxa"/>
            <w:tcMar>
              <w:top w:w="0" w:type="dxa"/>
              <w:bottom w:w="0" w:type="dxa"/>
            </w:tcMar>
            <w:vAlign w:val="center"/>
          </w:tcPr>
          <w:p w:rsidR="00DD0EB7" w:rsidRDefault="00000000">
            <w:pPr>
              <w:keepNext/>
              <w:keepLines/>
              <w:spacing w:after="0" w:line="240" w:lineRule="auto"/>
              <w:jc w:val="right"/>
            </w:pPr>
            <w:r>
              <w:rPr>
                <w:sz w:val="18"/>
              </w:rPr>
              <w:t>0,00</w:t>
            </w:r>
          </w:p>
        </w:tc>
        <w:tc>
          <w:tcPr>
            <w:tcW w:w="1860" w:type="dxa"/>
            <w:tcMar>
              <w:top w:w="0" w:type="dxa"/>
              <w:bottom w:w="0" w:type="dxa"/>
            </w:tcMar>
            <w:vAlign w:val="center"/>
          </w:tcPr>
          <w:p w:rsidR="00DD0EB7" w:rsidRDefault="00000000">
            <w:pPr>
              <w:keepNext/>
              <w:keepLines/>
              <w:spacing w:after="0" w:line="240" w:lineRule="auto"/>
              <w:jc w:val="right"/>
            </w:pPr>
            <w:r>
              <w:rPr>
                <w:sz w:val="18"/>
              </w:rPr>
              <w:t>10.586,35</w:t>
            </w:r>
          </w:p>
        </w:tc>
        <w:tc>
          <w:tcPr>
            <w:tcW w:w="700" w:type="dxa"/>
            <w:tcMar>
              <w:top w:w="0" w:type="dxa"/>
              <w:bottom w:w="0" w:type="dxa"/>
            </w:tcMar>
            <w:vAlign w:val="center"/>
          </w:tcPr>
          <w:p w:rsidR="00DD0EB7" w:rsidRDefault="00000000">
            <w:pPr>
              <w:keepNext/>
              <w:keepLines/>
              <w:spacing w:after="0" w:line="240" w:lineRule="auto"/>
              <w:jc w:val="right"/>
            </w:pPr>
            <w:r>
              <w:rPr>
                <w:sz w:val="18"/>
              </w:rPr>
              <w:t>-</w:t>
            </w:r>
          </w:p>
        </w:tc>
      </w:tr>
    </w:tbl>
    <w:p w:rsidR="00DD0EB7" w:rsidRDefault="00DD0EB7">
      <w:pPr>
        <w:spacing w:after="0"/>
      </w:pPr>
    </w:p>
    <w:p w:rsidR="00DD0EB7" w:rsidRDefault="00000000">
      <w:pPr>
        <w:spacing w:line="240" w:lineRule="auto"/>
        <w:jc w:val="both"/>
      </w:pPr>
      <w:r>
        <w:t>Manjak prihoda i primitaka rezultat je izostanka uplate sredstava iz nadležnog proračuna za lipanj 2025. a koji su plaćeni u mjesecu srpnju.</w:t>
      </w:r>
    </w:p>
    <w:p w:rsidR="00DD0EB7" w:rsidRDefault="00DD0EB7"/>
    <w:p w:rsidR="00DD0EB7" w:rsidRDefault="00000000">
      <w:pPr>
        <w:keepNext/>
        <w:spacing w:line="240" w:lineRule="auto"/>
        <w:jc w:val="center"/>
      </w:pPr>
      <w:r>
        <w:rPr>
          <w:b/>
          <w:sz w:val="28"/>
        </w:rPr>
        <w:lastRenderedPageBreak/>
        <w:t>Izvještaj o obvezama</w:t>
      </w:r>
    </w:p>
    <w:p w:rsidR="00DD0EB7"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DD0EB7">
        <w:tblPrEx>
          <w:tblCellMar>
            <w:top w:w="0" w:type="dxa"/>
            <w:bottom w:w="0" w:type="dxa"/>
          </w:tblCellMar>
        </w:tblPrEx>
        <w:trPr>
          <w:cantSplit/>
        </w:trPr>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Indeks (%)</w:t>
            </w:r>
          </w:p>
        </w:tc>
      </w:tr>
      <w:tr w:rsidR="00DD0EB7">
        <w:tblPrEx>
          <w:tblCellMar>
            <w:top w:w="0" w:type="dxa"/>
            <w:bottom w:w="0" w:type="dxa"/>
          </w:tblCellMar>
        </w:tblPrEx>
        <w:trPr>
          <w:cantSplit/>
          <w:trHeight w:val="560"/>
        </w:trPr>
        <w:tc>
          <w:tcPr>
            <w:tcW w:w="700" w:type="dxa"/>
            <w:tcMar>
              <w:top w:w="0" w:type="dxa"/>
              <w:bottom w:w="0" w:type="dxa"/>
            </w:tcMar>
            <w:vAlign w:val="center"/>
          </w:tcPr>
          <w:p w:rsidR="00DD0EB7" w:rsidRDefault="00DD0EB7">
            <w:pPr>
              <w:keepNext/>
              <w:keepLines/>
              <w:spacing w:after="0" w:line="240" w:lineRule="auto"/>
            </w:pPr>
          </w:p>
        </w:tc>
        <w:tc>
          <w:tcPr>
            <w:tcW w:w="3180" w:type="dxa"/>
            <w:tcMar>
              <w:top w:w="0" w:type="dxa"/>
              <w:bottom w:w="0" w:type="dxa"/>
            </w:tcMar>
            <w:vAlign w:val="center"/>
          </w:tcPr>
          <w:p w:rsidR="00DD0EB7"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DD0EB7" w:rsidRDefault="00000000">
            <w:pPr>
              <w:keepNext/>
              <w:keepLines/>
              <w:spacing w:after="0" w:line="240" w:lineRule="auto"/>
            </w:pPr>
            <w:r>
              <w:rPr>
                <w:sz w:val="18"/>
              </w:rPr>
              <w:t>V007</w:t>
            </w:r>
          </w:p>
        </w:tc>
        <w:tc>
          <w:tcPr>
            <w:tcW w:w="1860" w:type="dxa"/>
            <w:tcMar>
              <w:top w:w="0" w:type="dxa"/>
              <w:bottom w:w="0" w:type="dxa"/>
            </w:tcMar>
            <w:vAlign w:val="center"/>
          </w:tcPr>
          <w:p w:rsidR="00DD0EB7" w:rsidRDefault="00000000">
            <w:pPr>
              <w:keepNext/>
              <w:keepLines/>
              <w:spacing w:after="0" w:line="240" w:lineRule="auto"/>
              <w:jc w:val="right"/>
            </w:pPr>
            <w:r>
              <w:rPr>
                <w:sz w:val="18"/>
              </w:rPr>
              <w:t>0,00</w:t>
            </w:r>
          </w:p>
        </w:tc>
        <w:tc>
          <w:tcPr>
            <w:tcW w:w="700" w:type="dxa"/>
            <w:tcMar>
              <w:top w:w="0" w:type="dxa"/>
              <w:bottom w:w="0" w:type="dxa"/>
            </w:tcMar>
            <w:vAlign w:val="center"/>
          </w:tcPr>
          <w:p w:rsidR="00DD0EB7" w:rsidRDefault="00000000">
            <w:pPr>
              <w:keepNext/>
              <w:keepLines/>
              <w:spacing w:after="0" w:line="240" w:lineRule="auto"/>
              <w:jc w:val="right"/>
            </w:pPr>
            <w:r>
              <w:rPr>
                <w:sz w:val="18"/>
              </w:rPr>
              <w:t>-</w:t>
            </w:r>
          </w:p>
        </w:tc>
      </w:tr>
    </w:tbl>
    <w:p w:rsidR="00DD0EB7" w:rsidRDefault="00DD0EB7">
      <w:pPr>
        <w:spacing w:after="0"/>
      </w:pPr>
    </w:p>
    <w:p w:rsidR="00DD0EB7" w:rsidRDefault="00000000">
      <w:pPr>
        <w:spacing w:line="240" w:lineRule="auto"/>
        <w:jc w:val="both"/>
      </w:pPr>
      <w:r>
        <w:t>Na kraju izvještajnog razdoblja nema dospjelih obveza.</w:t>
      </w:r>
    </w:p>
    <w:p w:rsidR="00DD0EB7" w:rsidRDefault="00DD0EB7"/>
    <w:p w:rsidR="00DD0EB7"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DD0EB7">
        <w:tblPrEx>
          <w:tblCellMar>
            <w:top w:w="0" w:type="dxa"/>
            <w:bottom w:w="0" w:type="dxa"/>
          </w:tblCellMar>
        </w:tblPrEx>
        <w:trPr>
          <w:cantSplit/>
        </w:trPr>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DD0EB7" w:rsidRDefault="00000000">
            <w:pPr>
              <w:keepNext/>
              <w:keepLines/>
              <w:spacing w:after="0" w:line="240" w:lineRule="auto"/>
              <w:jc w:val="center"/>
            </w:pPr>
            <w:r>
              <w:rPr>
                <w:b/>
                <w:sz w:val="18"/>
              </w:rPr>
              <w:t>Indeks (%)</w:t>
            </w:r>
          </w:p>
        </w:tc>
      </w:tr>
      <w:tr w:rsidR="00DD0EB7">
        <w:tblPrEx>
          <w:tblCellMar>
            <w:top w:w="0" w:type="dxa"/>
            <w:bottom w:w="0" w:type="dxa"/>
          </w:tblCellMar>
        </w:tblPrEx>
        <w:trPr>
          <w:cantSplit/>
          <w:trHeight w:val="560"/>
        </w:trPr>
        <w:tc>
          <w:tcPr>
            <w:tcW w:w="700" w:type="dxa"/>
            <w:tcMar>
              <w:top w:w="0" w:type="dxa"/>
              <w:bottom w:w="0" w:type="dxa"/>
            </w:tcMar>
            <w:vAlign w:val="center"/>
          </w:tcPr>
          <w:p w:rsidR="00DD0EB7" w:rsidRDefault="00DD0EB7">
            <w:pPr>
              <w:keepNext/>
              <w:keepLines/>
              <w:spacing w:after="0" w:line="240" w:lineRule="auto"/>
            </w:pPr>
          </w:p>
        </w:tc>
        <w:tc>
          <w:tcPr>
            <w:tcW w:w="3180" w:type="dxa"/>
            <w:tcMar>
              <w:top w:w="0" w:type="dxa"/>
              <w:bottom w:w="0" w:type="dxa"/>
            </w:tcMar>
            <w:vAlign w:val="center"/>
          </w:tcPr>
          <w:p w:rsidR="00DD0EB7"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DD0EB7" w:rsidRDefault="00000000">
            <w:pPr>
              <w:keepNext/>
              <w:keepLines/>
              <w:spacing w:after="0" w:line="240" w:lineRule="auto"/>
            </w:pPr>
            <w:r>
              <w:rPr>
                <w:sz w:val="18"/>
              </w:rPr>
              <w:t>V009</w:t>
            </w:r>
          </w:p>
        </w:tc>
        <w:tc>
          <w:tcPr>
            <w:tcW w:w="1860" w:type="dxa"/>
            <w:tcMar>
              <w:top w:w="0" w:type="dxa"/>
              <w:bottom w:w="0" w:type="dxa"/>
            </w:tcMar>
            <w:vAlign w:val="center"/>
          </w:tcPr>
          <w:p w:rsidR="00DD0EB7" w:rsidRDefault="00000000">
            <w:pPr>
              <w:keepNext/>
              <w:keepLines/>
              <w:spacing w:after="0" w:line="240" w:lineRule="auto"/>
              <w:jc w:val="right"/>
            </w:pPr>
            <w:r>
              <w:rPr>
                <w:sz w:val="18"/>
              </w:rPr>
              <w:t>102.773,42</w:t>
            </w:r>
          </w:p>
        </w:tc>
        <w:tc>
          <w:tcPr>
            <w:tcW w:w="700" w:type="dxa"/>
            <w:tcMar>
              <w:top w:w="0" w:type="dxa"/>
              <w:bottom w:w="0" w:type="dxa"/>
            </w:tcMar>
            <w:vAlign w:val="center"/>
          </w:tcPr>
          <w:p w:rsidR="00DD0EB7" w:rsidRDefault="00000000">
            <w:pPr>
              <w:keepNext/>
              <w:keepLines/>
              <w:spacing w:after="0" w:line="240" w:lineRule="auto"/>
              <w:jc w:val="right"/>
            </w:pPr>
            <w:r>
              <w:rPr>
                <w:sz w:val="18"/>
              </w:rPr>
              <w:t>-</w:t>
            </w:r>
          </w:p>
        </w:tc>
      </w:tr>
    </w:tbl>
    <w:p w:rsidR="00DD0EB7" w:rsidRDefault="00DD0EB7">
      <w:pPr>
        <w:spacing w:after="0"/>
      </w:pPr>
    </w:p>
    <w:p w:rsidR="00DD0EB7" w:rsidRDefault="00000000">
      <w:pPr>
        <w:spacing w:line="240" w:lineRule="auto"/>
        <w:jc w:val="both"/>
      </w:pPr>
      <w:r>
        <w:t>Obaveze su podmirivane u rokovima dospijeća. Nedospjele obveze na kraju izvještajnog razdoblja odnose se na obavezu za isplatu plaće za mjesec lipanj koja dospijeva početkom srpnja, materijalne rashode (komunalne naknade, namirnice za prehranu djece i zaposlenika) kojima rok dospijeća nije do kraja izvještajnog razdoblja.</w:t>
      </w:r>
    </w:p>
    <w:p w:rsidR="00DD0EB7" w:rsidRDefault="00DD0EB7"/>
    <w:sectPr w:rsidR="00DD0E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EB7"/>
    <w:rsid w:val="005724DE"/>
    <w:rsid w:val="00DD0EB7"/>
    <w:rsid w:val="00F479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D885DB-D302-411D-AE97-4AD5EA71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1541</Words>
  <Characters>8784</Characters>
  <Application>Microsoft Office Word</Application>
  <DocSecurity>0</DocSecurity>
  <Lines>73</Lines>
  <Paragraphs>20</Paragraphs>
  <ScaleCrop>false</ScaleCrop>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RacunovodstvoDV</dc:creator>
  <cp:lastModifiedBy>Dječji Vrtić Bubamara</cp:lastModifiedBy>
  <cp:revision>2</cp:revision>
  <dcterms:created xsi:type="dcterms:W3CDTF">2025-07-10T12:33:00Z</dcterms:created>
  <dcterms:modified xsi:type="dcterms:W3CDTF">2025-07-10T12:33:00Z</dcterms:modified>
</cp:coreProperties>
</file>